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Guida alla dashboard ARDECO Lombardia</w:t>
      </w:r>
    </w:p>
    <w:p>
      <w:pPr>
        <w:pStyle w:val="Author"/>
      </w:pPr>
      <w:r>
        <w:t xml:space="preserve">Giampaolo Montaletti</w:t>
      </w:r>
    </w:p>
    <w:bookmarkStart w:id="23" w:name="presentazione-e-struttura"/>
    <w:p>
      <w:pPr>
        <w:pStyle w:val="Heading1"/>
      </w:pPr>
      <w:r>
        <w:t xml:space="preserve">1. Presentazione e struttura</w:t>
      </w:r>
    </w:p>
    <w:bookmarkStart w:id="20" w:name="cosè-ardeco-e-perché-questa-dashboard"/>
    <w:p>
      <w:pPr>
        <w:pStyle w:val="Heading2"/>
      </w:pPr>
      <w:r>
        <w:t xml:space="preserve">Cos’è ARDECO e perché questa dashboard</w:t>
      </w:r>
    </w:p>
    <w:p>
      <w:pPr>
        <w:pStyle w:val="FirstParagraph"/>
      </w:pPr>
      <w:r>
        <w:t xml:space="preserve">ARDECO (</w:t>
      </w:r>
      <w:r>
        <w:rPr>
          <w:i/>
          <w:iCs/>
        </w:rPr>
        <w:t xml:space="preserve">Annual Regional Database of the European Commission</w:t>
      </w:r>
      <w:r>
        <w:t xml:space="preserve">) è il database regionale</w:t>
      </w:r>
      <w:r>
        <w:t xml:space="preserve"> </w:t>
      </w:r>
      <w:r>
        <w:t xml:space="preserve">gestito dal Joint Research Centre della Commissione europea. Raccoglie serie</w:t>
      </w:r>
      <w:r>
        <w:t xml:space="preserve"> </w:t>
      </w:r>
      <w:r>
        <w:t xml:space="preserve">storiche armonizzate a livello NUTS 0–3 su popolazione, mercato del lavoro,</w:t>
      </w:r>
      <w:r>
        <w:t xml:space="preserve"> </w:t>
      </w:r>
      <w:r>
        <w:t xml:space="preserve">PIL, valore aggiunto, compensi e formazione del capitale, con copertura che</w:t>
      </w:r>
      <w:r>
        <w:t xml:space="preserve"> </w:t>
      </w:r>
      <w:r>
        <w:t xml:space="preserve">parte dal 1960 e viene aggiornata secondo il calendario JRC di marzo, maggio e</w:t>
      </w:r>
      <w:r>
        <w:t xml:space="preserve"> </w:t>
      </w:r>
      <w:r>
        <w:t xml:space="preserve">novembre. I dati integrano le fonti Eurostat (conti regionali ESA 2010,</w:t>
      </w:r>
      <w:r>
        <w:t xml:space="preserve"> </w:t>
      </w:r>
      <w:r>
        <w:t xml:space="preserve">statistiche demografiche, EU-LFS) con stime e deflatori prodotti dal JRC.</w:t>
      </w:r>
    </w:p>
    <w:p>
      <w:pPr>
        <w:pStyle w:val="BodyText"/>
      </w:pPr>
      <w:r>
        <w:t xml:space="preserve">La dashboard</w:t>
      </w:r>
      <w:r>
        <w:t xml:space="preserve"> </w:t>
      </w:r>
      <w:r>
        <w:rPr>
          <w:b/>
          <w:bCs/>
        </w:rPr>
        <w:t xml:space="preserve">ARDECO Lombardia</w:t>
      </w:r>
      <w:r>
        <w:t xml:space="preserve"> </w:t>
      </w:r>
      <w:r>
        <w:t xml:space="preserve">espone un sottoinsieme tematico di 57</w:t>
      </w:r>
      <w:r>
        <w:t xml:space="preserve"> </w:t>
      </w:r>
      <w:r>
        <w:t xml:space="preserve">variabili focalizzato sulla regione NUTS-2 ITC4 (Lombardia) e sulle 12</w:t>
      </w:r>
      <w:r>
        <w:t xml:space="preserve"> </w:t>
      </w:r>
      <w:r>
        <w:t xml:space="preserve">province NUTS-3 che la compongono. I dati provengono dal pacchetto CRAN</w:t>
      </w:r>
      <w:r>
        <w:t xml:space="preserve"> </w:t>
      </w:r>
      <w:r>
        <w:rPr>
          <w:rStyle w:val="VerbatimChar"/>
        </w:rPr>
        <w:t xml:space="preserve">ARDECO</w:t>
      </w:r>
      <w:r>
        <w:t xml:space="preserve"> </w:t>
      </w:r>
      <w:r>
        <w:t xml:space="preserve">e sono archiviati in un database DuckDB locale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data/ardeco.duckdb</w:t>
      </w:r>
      <w:r>
        <w:t xml:space="preserve">) generato dalla pipeline ETL</w:t>
      </w:r>
      <w:r>
        <w:t xml:space="preserve"> </w:t>
      </w:r>
      <w:r>
        <w:rPr>
          <w:rStyle w:val="VerbatimChar"/>
        </w:rPr>
        <w:t xml:space="preserve">R/01_build_duckdb.R</w:t>
      </w:r>
      <w:r>
        <w:t xml:space="preserve">.</w:t>
      </w:r>
      <w:r>
        <w:t xml:space="preserve"> </w:t>
      </w:r>
      <w:r>
        <w:t xml:space="preserve">La versione NUTS adottata è 2024.</w:t>
      </w:r>
    </w:p>
    <w:bookmarkEnd w:id="20"/>
    <w:bookmarkStart w:id="21" w:name="architettura-dellinterfaccia"/>
    <w:p>
      <w:pPr>
        <w:pStyle w:val="Heading2"/>
      </w:pPr>
      <w:r>
        <w:t xml:space="preserve">Architettura dell’interfaccia</w:t>
      </w:r>
    </w:p>
    <w:p>
      <w:pPr>
        <w:pStyle w:val="FirstParagraph"/>
      </w:pPr>
      <w:r>
        <w:t xml:space="preserve">L’applicazione è un</w:t>
      </w:r>
      <w:r>
        <w:t xml:space="preserve"> </w:t>
      </w:r>
      <w:r>
        <w:rPr>
          <w:rStyle w:val="VerbatimChar"/>
        </w:rPr>
        <w:t xml:space="preserve">flexdashboard</w:t>
      </w:r>
      <w:r>
        <w:t xml:space="preserve"> </w:t>
      </w:r>
      <w:r>
        <w:t xml:space="preserve">con runtime Shiny, organizzato in sei</w:t>
      </w:r>
      <w:r>
        <w:t xml:space="preserve"> </w:t>
      </w:r>
      <w:r>
        <w:t xml:space="preserve">pagine tematiche indipendenti. Ogni pagina presenta la stessa struttura: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Sidebar</w:t>
      </w:r>
      <w:r>
        <w:t xml:space="preserve"> </w:t>
      </w:r>
      <w:r>
        <w:t xml:space="preserve">con il selettore di variabile e i filtri dinamici delle</w:t>
      </w:r>
      <w:r>
        <w:t xml:space="preserve"> </w:t>
      </w:r>
      <w:r>
        <w:t xml:space="preserve">dimensioni disponibili (unità di misura, sesso, classe di età, settore</w:t>
      </w:r>
      <w:r>
        <w:t xml:space="preserve"> </w:t>
      </w:r>
      <w:r>
        <w:t xml:space="preserve">NACE, livello di istruzione ISCED11). I filtri appaiono solo quando la</w:t>
      </w:r>
      <w:r>
        <w:t xml:space="preserve"> </w:t>
      </w:r>
      <w:r>
        <w:t xml:space="preserve">variabile selezionata li supporta.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 value box</w:t>
      </w:r>
      <w:r>
        <w:t xml:space="preserve"> </w:t>
      </w:r>
      <w:r>
        <w:t xml:space="preserve">con gli indicatori chiave della pagina: riportano il</w:t>
      </w:r>
      <w:r>
        <w:t xml:space="preserve"> </w:t>
      </w:r>
      <w:r>
        <w:t xml:space="preserve">valore regionale più recente e l’anno di riferimento.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Mappa coropletica</w:t>
      </w:r>
      <w:r>
        <w:t xml:space="preserve"> </w:t>
      </w:r>
      <w:r>
        <w:t xml:space="preserve">Leaflet delle 12 province, con palette</w:t>
      </w:r>
      <w:r>
        <w:t xml:space="preserve"> </w:t>
      </w:r>
      <w:r>
        <w:t xml:space="preserve">CVD-safe e confini da</w:t>
      </w:r>
      <w:r>
        <w:t xml:space="preserve"> </w:t>
      </w:r>
      <w:r>
        <w:rPr>
          <w:rStyle w:val="VerbatimChar"/>
        </w:rPr>
        <w:t xml:space="preserve">data/lombardia_nuts3.gpkg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Grafico di serie storica</w:t>
      </w:r>
      <w:r>
        <w:t xml:space="preserve"> </w:t>
      </w:r>
      <w:r>
        <w:t xml:space="preserve">Plotly con il totale regionale in evidenza</w:t>
      </w:r>
      <w:r>
        <w:t xml:space="preserve"> </w:t>
      </w:r>
      <w:r>
        <w:t xml:space="preserve">e le province sovrapponibili per confronto.</w:t>
      </w:r>
    </w:p>
    <w:bookmarkEnd w:id="21"/>
    <w:bookmarkStart w:id="22" w:name="controlli-interattivi"/>
    <w:p>
      <w:pPr>
        <w:pStyle w:val="Heading2"/>
      </w:pPr>
      <w:r>
        <w:t xml:space="preserve">Controlli interattivi</w:t>
      </w:r>
    </w:p>
    <w:p>
      <w:pPr>
        <w:pStyle w:val="FirstParagraph"/>
      </w:pPr>
      <w:r>
        <w:t xml:space="preserve">Il selettore di variabile lista le variabili del gruppo tematico con</w:t>
      </w:r>
      <w:r>
        <w:t xml:space="preserve"> </w:t>
      </w:r>
      <w:r>
        <w:t xml:space="preserve">etichetta italiana. I selettori di dimensione (UNIT, SEX, AGE, SECTOR,</w:t>
      </w:r>
      <w:r>
        <w:t xml:space="preserve"> </w:t>
      </w:r>
      <w:r>
        <w:t xml:space="preserve">ISCED11) sono popolati dinamicamente leggendo le combinazioni effettivamente</w:t>
      </w:r>
      <w:r>
        <w:t xml:space="preserve"> </w:t>
      </w:r>
      <w:r>
        <w:t xml:space="preserve">presenti nel dato. Ogni variazione aggiorna insieme value box, mappa e</w:t>
      </w:r>
      <w:r>
        <w:t xml:space="preserve"> </w:t>
      </w:r>
      <w:r>
        <w:t xml:space="preserve">serie storica.</w:t>
      </w:r>
    </w:p>
    <w:bookmarkEnd w:id="22"/>
    <w:bookmarkEnd w:id="23"/>
    <w:bookmarkStart w:id="24" w:name="le-sei-aree-tematiche"/>
    <w:p>
      <w:pPr>
        <w:pStyle w:val="Heading1"/>
      </w:pPr>
      <w:r>
        <w:t xml:space="preserve">2. Le sei aree tematiche</w:t>
      </w:r>
    </w:p>
    <w:p>
      <w:pPr>
        <w:pStyle w:val="FirstParagraph"/>
      </w:pPr>
      <w:r>
        <w:t xml:space="preserve">Ogni pagina raggruppa variabili coerenti per dominio e condivide gli stessi</w:t>
      </w:r>
      <w:r>
        <w:t xml:space="preserve"> </w:t>
      </w:r>
      <w:r>
        <w:t xml:space="preserve">indicatori nelle value box. La tabella sintetizza contenuto e casi d’uso.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Pagina</w:t>
            </w:r>
          </w:p>
        </w:tc>
        <w:tc>
          <w:tcPr/>
          <w:p>
            <w:pPr>
              <w:pStyle w:val="Compact"/>
            </w:pPr>
            <w:r>
              <w:t xml:space="preserve">N. var.</w:t>
            </w:r>
          </w:p>
        </w:tc>
        <w:tc>
          <w:tcPr/>
          <w:p>
            <w:pPr>
              <w:pStyle w:val="Compact"/>
            </w:pPr>
            <w:r>
              <w:t xml:space="preserve">Indicatori nei value box</w:t>
            </w:r>
          </w:p>
        </w:tc>
        <w:tc>
          <w:tcPr/>
          <w:p>
            <w:pPr>
              <w:pStyle w:val="Compact"/>
            </w:pPr>
            <w:r>
              <w:t xml:space="preserve">Esempi di domande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Popolazione e demografia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Popolazione totale (NR); variazione per 1000 abitanti (‰)</w:t>
            </w:r>
          </w:p>
        </w:tc>
        <w:tc>
          <w:tcPr/>
          <w:p>
            <w:pPr>
              <w:pStyle w:val="Compact"/>
            </w:pPr>
            <w:r>
              <w:t xml:space="preserve">Come evolve la popolazione lombarda? Quanto pesa il saldo migratorio rispetto a quello naturale?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Mercato del lavoro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Tasso di occupazione 20–64 (%); tasso di disoccupazione 15–74 (%)</w:t>
            </w:r>
          </w:p>
        </w:tc>
        <w:tc>
          <w:tcPr/>
          <w:p>
            <w:pPr>
              <w:pStyle w:val="Compact"/>
            </w:pPr>
            <w:r>
              <w:t xml:space="preserve">Qual è il divario occupazionale tra province? Come si muovono ore lavorate e forza lavoro?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Occupazione per settore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Numero di settori NACE; ultimo anno disponibile</w:t>
            </w:r>
          </w:p>
        </w:tc>
        <w:tc>
          <w:tcPr/>
          <w:p>
            <w:pPr>
              <w:pStyle w:val="Compact"/>
            </w:pPr>
            <w:r>
              <w:t xml:space="preserve">Come si distribuiscono occupati e ore lavorate tra i 10 settori NACE Rev. 2?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 e valore aggiunto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PIL corrente (MIO_EUR); PIL costante base 2015 (MIO_EUR2015)</w:t>
            </w:r>
          </w:p>
        </w:tc>
        <w:tc>
          <w:tcPr/>
          <w:p>
            <w:pPr>
              <w:pStyle w:val="Compact"/>
            </w:pPr>
            <w:r>
              <w:t xml:space="preserve">Qual è la dinamica reale del PIL? Come varia la produttività per ora e per occupato?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Reddito e compensi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Compensi correnti (MIO_EUR); compensi costanti base 2015</w:t>
            </w:r>
          </w:p>
        </w:tc>
        <w:tc>
          <w:tcPr/>
          <w:p>
            <w:pPr>
              <w:pStyle w:val="Compact"/>
            </w:pPr>
            <w:r>
              <w:t xml:space="preserve">Come evolve il compenso reale per dipendente? Che andamento ha il CLUP?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Formazione del capitale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FBCF corrente (MIO_EUR); FBCF costante base 2015</w:t>
            </w:r>
          </w:p>
        </w:tc>
        <w:tc>
          <w:tcPr/>
          <w:p>
            <w:pPr>
              <w:pStyle w:val="Compact"/>
            </w:pPr>
            <w:r>
              <w:t xml:space="preserve">Quanto investe la regione in capitale fisso? Come cresce lo stock di capitale netto?</w:t>
            </w:r>
          </w:p>
        </w:tc>
      </w:tr>
    </w:tbl>
    <w:p>
      <w:pPr>
        <w:pStyle w:val="BodyText"/>
      </w:pPr>
      <w:r>
        <w:t xml:space="preserve">Le variabili derivate (tassi, pro capite, produttività, CLUP) sono calcolate</w:t>
      </w:r>
      <w:r>
        <w:t xml:space="preserve"> </w:t>
      </w:r>
      <w:r>
        <w:t xml:space="preserve">dal JRC a partire dai dati di base; quelle settoriali usano la</w:t>
      </w:r>
      <w:r>
        <w:t xml:space="preserve"> </w:t>
      </w:r>
      <w:r>
        <w:t xml:space="preserve">classificazione NACE Rev. 2 a 10 settori. Le serie a prezzi costanti hanno</w:t>
      </w:r>
      <w:r>
        <w:t xml:space="preserve"> </w:t>
      </w:r>
      <w:r>
        <w:t xml:space="preserve">anno base 2015.</w:t>
      </w:r>
    </w:p>
    <w:bookmarkEnd w:id="24"/>
    <w:bookmarkStart w:id="30" w:name="variabili-e-dimensioni"/>
    <w:p>
      <w:pPr>
        <w:pStyle w:val="Heading1"/>
      </w:pPr>
      <w:r>
        <w:t xml:space="preserve">3. Variabili e dimensioni</w:t>
      </w:r>
    </w:p>
    <w:bookmarkStart w:id="25" w:name="X4566f98a8fb8a3ad410ba0aefc49226df0ce196"/>
    <w:p>
      <w:pPr>
        <w:pStyle w:val="Heading2"/>
      </w:pPr>
      <w:r>
        <w:t xml:space="preserve">Dizionario compatto delle variabili chiave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Codice</w:t>
            </w:r>
          </w:p>
        </w:tc>
        <w:tc>
          <w:tcPr/>
          <w:p>
            <w:pPr>
              <w:pStyle w:val="Compact"/>
            </w:pPr>
            <w:r>
              <w:t xml:space="preserve">Etichetta</w:t>
            </w:r>
          </w:p>
        </w:tc>
        <w:tc>
          <w:tcPr/>
          <w:p>
            <w:pPr>
              <w:pStyle w:val="Compact"/>
            </w:pPr>
            <w:r>
              <w:t xml:space="preserve">Unità principale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SNPTD</w:t>
            </w:r>
          </w:p>
        </w:tc>
        <w:tc>
          <w:tcPr/>
          <w:p>
            <w:pPr>
              <w:pStyle w:val="Compact"/>
            </w:pPr>
            <w:r>
              <w:t xml:space="preserve">Popolazione media annua</w:t>
            </w:r>
          </w:p>
        </w:tc>
        <w:tc>
          <w:tcPr/>
          <w:p>
            <w:pPr>
              <w:pStyle w:val="Compact"/>
            </w:pPr>
            <w:r>
              <w:t xml:space="preserve">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SNPCNP</w:t>
            </w:r>
          </w:p>
        </w:tc>
        <w:tc>
          <w:tcPr/>
          <w:p>
            <w:pPr>
              <w:pStyle w:val="Compact"/>
            </w:pPr>
            <w:r>
              <w:t xml:space="preserve">Variazione della popolazione per 1000 abitanti</w:t>
            </w:r>
          </w:p>
        </w:tc>
        <w:tc>
          <w:tcPr/>
          <w:p>
            <w:pPr>
              <w:pStyle w:val="Compact"/>
            </w:pPr>
            <w:r>
              <w:t xml:space="preserve">GROWRT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RPECNP</w:t>
            </w:r>
          </w:p>
        </w:tc>
        <w:tc>
          <w:tcPr/>
          <w:p>
            <w:pPr>
              <w:pStyle w:val="Compact"/>
            </w:pPr>
            <w:r>
              <w:t xml:space="preserve">Tasso di occupazione (20–64 anni)</w:t>
            </w:r>
          </w:p>
        </w:tc>
        <w:tc>
          <w:tcPr/>
          <w:p>
            <w:pPr>
              <w:pStyle w:val="Compact"/>
            </w:pPr>
            <w:r>
              <w:t xml:space="preserve">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RPUCNP</w:t>
            </w:r>
          </w:p>
        </w:tc>
        <w:tc>
          <w:tcPr/>
          <w:p>
            <w:pPr>
              <w:pStyle w:val="Compact"/>
            </w:pPr>
            <w:r>
              <w:t xml:space="preserve">Tasso di disoccupazione (15–74 anni)</w:t>
            </w:r>
          </w:p>
        </w:tc>
        <w:tc>
          <w:tcPr/>
          <w:p>
            <w:pPr>
              <w:pStyle w:val="Compact"/>
            </w:pPr>
            <w:r>
              <w:t xml:space="preserve">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RNLHT</w:t>
            </w:r>
          </w:p>
        </w:tc>
        <w:tc>
          <w:tcPr/>
          <w:p>
            <w:pPr>
              <w:pStyle w:val="Compact"/>
            </w:pPr>
            <w:r>
              <w:t xml:space="preserve">Ore lavorate (occupati)</w:t>
            </w:r>
          </w:p>
        </w:tc>
        <w:tc>
          <w:tcPr/>
          <w:p>
            <w:pPr>
              <w:pStyle w:val="Compact"/>
            </w:pPr>
            <w:r>
              <w:t xml:space="preserve">THS_HW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SUVGD</w:t>
            </w:r>
          </w:p>
        </w:tc>
        <w:tc>
          <w:tcPr/>
          <w:p>
            <w:pPr>
              <w:pStyle w:val="Compact"/>
            </w:pPr>
            <w:r>
              <w:t xml:space="preserve">PIL a prezzi correnti</w:t>
            </w:r>
          </w:p>
        </w:tc>
        <w:tc>
          <w:tcPr/>
          <w:p>
            <w:pPr>
              <w:pStyle w:val="Compact"/>
            </w:pPr>
            <w:r>
              <w:t xml:space="preserve">MIO_EUR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SOVGD</w:t>
            </w:r>
          </w:p>
        </w:tc>
        <w:tc>
          <w:tcPr/>
          <w:p>
            <w:pPr>
              <w:pStyle w:val="Compact"/>
            </w:pPr>
            <w:r>
              <w:t xml:space="preserve">PIL a prezzi costanti (base 2015)</w:t>
            </w:r>
          </w:p>
        </w:tc>
        <w:tc>
          <w:tcPr/>
          <w:p>
            <w:pPr>
              <w:pStyle w:val="Compact"/>
            </w:pPr>
            <w:r>
              <w:t xml:space="preserve">MIO_EUR2015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SUVGDP</w:t>
            </w:r>
          </w:p>
        </w:tc>
        <w:tc>
          <w:tcPr/>
          <w:p>
            <w:pPr>
              <w:pStyle w:val="Compact"/>
            </w:pPr>
            <w:r>
              <w:t xml:space="preserve">PIL pro capite a prezzi correnti</w:t>
            </w:r>
          </w:p>
        </w:tc>
        <w:tc>
          <w:tcPr/>
          <w:p>
            <w:pPr>
              <w:pStyle w:val="Compact"/>
            </w:pPr>
            <w:r>
              <w:t xml:space="preserve">EUR_HAB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RUWCD</w:t>
            </w:r>
          </w:p>
        </w:tc>
        <w:tc>
          <w:tcPr/>
          <w:p>
            <w:pPr>
              <w:pStyle w:val="Compact"/>
            </w:pPr>
            <w:r>
              <w:t xml:space="preserve">Compensi dei dipendenti a prezzi correnti</w:t>
            </w:r>
          </w:p>
        </w:tc>
        <w:tc>
          <w:tcPr/>
          <w:p>
            <w:pPr>
              <w:pStyle w:val="Compact"/>
            </w:pPr>
            <w:r>
              <w:t xml:space="preserve">MIO_EUR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RUIGT</w:t>
            </w:r>
          </w:p>
        </w:tc>
        <w:tc>
          <w:tcPr/>
          <w:p>
            <w:pPr>
              <w:pStyle w:val="Compact"/>
            </w:pPr>
            <w:r>
              <w:t xml:space="preserve">Investimenti fissi lordi (FBCF) a prezzi correnti</w:t>
            </w:r>
          </w:p>
        </w:tc>
        <w:tc>
          <w:tcPr/>
          <w:p>
            <w:pPr>
              <w:pStyle w:val="Compact"/>
            </w:pPr>
            <w:r>
              <w:t xml:space="preserve">MIO_EUR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ROKND</w:t>
            </w:r>
          </w:p>
        </w:tc>
        <w:tc>
          <w:tcPr/>
          <w:p>
            <w:pPr>
              <w:pStyle w:val="Compact"/>
            </w:pPr>
            <w:r>
              <w:t xml:space="preserve">Stock di capitale netto a prezzi costanti</w:t>
            </w:r>
          </w:p>
        </w:tc>
        <w:tc>
          <w:tcPr/>
          <w:p>
            <w:pPr>
              <w:pStyle w:val="Compact"/>
            </w:pPr>
            <w:r>
              <w:t xml:space="preserve">MIO_EUR2015</w:t>
            </w:r>
          </w:p>
        </w:tc>
      </w:tr>
    </w:tbl>
    <w:bookmarkEnd w:id="25"/>
    <w:bookmarkStart w:id="26" w:name="unità-di-misura-ricorrenti"/>
    <w:p>
      <w:pPr>
        <w:pStyle w:val="Heading2"/>
      </w:pPr>
      <w:r>
        <w:t xml:space="preserve">Unità di misura ricorrenti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NR</w:t>
      </w:r>
      <w:r>
        <w:t xml:space="preserve"> </w:t>
      </w:r>
      <w:r>
        <w:t xml:space="preserve">— numero;</w:t>
      </w:r>
      <w:r>
        <w:t xml:space="preserve"> </w:t>
      </w:r>
      <w:r>
        <w:rPr>
          <w:b/>
          <w:bCs/>
        </w:rPr>
        <w:t xml:space="preserve">THS</w:t>
      </w:r>
      <w:r>
        <w:t xml:space="preserve"> </w:t>
      </w:r>
      <w:r>
        <w:t xml:space="preserve">— migliaia.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MIO_EUR</w:t>
      </w:r>
      <w:r>
        <w:t xml:space="preserve"> </w:t>
      </w:r>
      <w:r>
        <w:t xml:space="preserve">— milioni di euro a prezzi correnti;</w:t>
      </w:r>
      <w:r>
        <w:t xml:space="preserve"> </w:t>
      </w:r>
      <w:r>
        <w:rPr>
          <w:b/>
          <w:bCs/>
        </w:rPr>
        <w:t xml:space="preserve">MIO_EUR2015</w:t>
      </w:r>
      <w:r>
        <w:t xml:space="preserve"> </w:t>
      </w:r>
      <w:r>
        <w:t xml:space="preserve">— milioni di euro a prezzi costanti, base 2015.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EUR_HAB</w:t>
      </w:r>
      <w:r>
        <w:t xml:space="preserve"> </w:t>
      </w:r>
      <w:r>
        <w:t xml:space="preserve">— euro per abitante;</w:t>
      </w:r>
      <w:r>
        <w:t xml:space="preserve"> </w:t>
      </w:r>
      <w:r>
        <w:rPr>
          <w:b/>
          <w:bCs/>
        </w:rPr>
        <w:t xml:space="preserve">PC</w:t>
      </w:r>
      <w:r>
        <w:t xml:space="preserve"> </w:t>
      </w:r>
      <w:r>
        <w:t xml:space="preserve">— percentuale.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THS_HW</w:t>
      </w:r>
      <w:r>
        <w:t xml:space="preserve"> </w:t>
      </w:r>
      <w:r>
        <w:t xml:space="preserve">— migliaia di ore lavorate.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I15 / I20</w:t>
      </w:r>
      <w:r>
        <w:t xml:space="preserve"> </w:t>
      </w:r>
      <w:r>
        <w:t xml:space="preserve">— indici concatenati base 2015 / 2020;</w:t>
      </w:r>
      <w:r>
        <w:t xml:space="preserve"> </w:t>
      </w:r>
      <w:r>
        <w:rPr>
          <w:b/>
          <w:bCs/>
        </w:rPr>
        <w:t xml:space="preserve">PCH_PRE</w:t>
      </w:r>
      <w:r>
        <w:t xml:space="preserve"> </w:t>
      </w:r>
      <w:r>
        <w:t xml:space="preserve">— variazione percentuale sull’anno precedente;</w:t>
      </w:r>
      <w:r>
        <w:t xml:space="preserve"> </w:t>
      </w:r>
      <w:r>
        <w:rPr>
          <w:b/>
          <w:bCs/>
        </w:rPr>
        <w:t xml:space="preserve">GROWRT</w:t>
      </w:r>
      <w:r>
        <w:t xml:space="preserve"> </w:t>
      </w:r>
      <w:r>
        <w:t xml:space="preserve">— tasso di crescita per mille.</w:t>
      </w:r>
    </w:p>
    <w:bookmarkEnd w:id="26"/>
    <w:bookmarkStart w:id="27" w:name="copertura-geografica-e-temporale"/>
    <w:p>
      <w:pPr>
        <w:pStyle w:val="Heading2"/>
      </w:pPr>
      <w:r>
        <w:t xml:space="preserve">Copertura geografica e temporale</w:t>
      </w:r>
    </w:p>
    <w:p>
      <w:pPr>
        <w:pStyle w:val="FirstParagraph"/>
      </w:pPr>
      <w:r>
        <w:t xml:space="preserve">L’ambito territoriale comprende la Lombardia NUTS-2 (codice ITC4) e le 12</w:t>
      </w:r>
      <w:r>
        <w:t xml:space="preserve"> </w:t>
      </w:r>
      <w:r>
        <w:t xml:space="preserve">province NUTS-3 (codici ITC41–ITC4C). La copertura temporale dipende dalla</w:t>
      </w:r>
      <w:r>
        <w:t xml:space="preserve"> </w:t>
      </w:r>
      <w:r>
        <w:t xml:space="preserve">variabile: le serie demografiche e di conti regionali partono dai primi</w:t>
      </w:r>
      <w:r>
        <w:t xml:space="preserve"> </w:t>
      </w:r>
      <w:r>
        <w:t xml:space="preserve">anni Sessanta, mentre gli indicatori derivati più recenti coprono</w:t>
      </w:r>
      <w:r>
        <w:t xml:space="preserve"> </w:t>
      </w:r>
      <w:r>
        <w:t xml:space="preserve">l’intervallo permesso dalle fonti sottostanti. L’ultimo anno disponibile</w:t>
      </w:r>
      <w:r>
        <w:t xml:space="preserve"> </w:t>
      </w:r>
      <w:r>
        <w:t xml:space="preserve">coincide con l’ultimo rilascio JRC adottato in pipeline.</w:t>
      </w:r>
    </w:p>
    <w:bookmarkEnd w:id="27"/>
    <w:bookmarkStart w:id="28" w:name="fonte-e-aggiornamento"/>
    <w:p>
      <w:pPr>
        <w:pStyle w:val="Heading2"/>
      </w:pPr>
      <w:r>
        <w:t xml:space="preserve">Fonte e aggiornamento</w:t>
      </w:r>
    </w:p>
    <w:p>
      <w:pPr>
        <w:pStyle w:val="FirstParagraph"/>
      </w:pPr>
      <w:r>
        <w:t xml:space="preserve">La pipeline</w:t>
      </w:r>
      <w:r>
        <w:t xml:space="preserve"> </w:t>
      </w:r>
      <w:r>
        <w:rPr>
          <w:rStyle w:val="VerbatimChar"/>
        </w:rPr>
        <w:t xml:space="preserve">R/01_build_duckdb.R</w:t>
      </w:r>
      <w:r>
        <w:t xml:space="preserve"> </w:t>
      </w:r>
      <w:r>
        <w:t xml:space="preserve">scarica le variabili via</w:t>
      </w:r>
      <w:r>
        <w:t xml:space="preserve"> </w:t>
      </w:r>
      <w:r>
        <w:rPr>
          <w:rStyle w:val="VerbatimChar"/>
        </w:rPr>
        <w:t xml:space="preserve">ardeco_get_dataset_data()</w:t>
      </w:r>
      <w:r>
        <w:t xml:space="preserve"> </w:t>
      </w:r>
      <w:r>
        <w:t xml:space="preserve">e popola il database DuckDB</w:t>
      </w:r>
      <w:r>
        <w:t xml:space="preserve"> </w:t>
      </w:r>
      <w:r>
        <w:rPr>
          <w:rStyle w:val="VerbatimChar"/>
        </w:rPr>
        <w:t xml:space="preserve">data/ardeco.duckdb</w:t>
      </w:r>
      <w:r>
        <w:t xml:space="preserve">, che contiene sia i dati (</w:t>
      </w:r>
      <w:r>
        <w:rPr>
          <w:rStyle w:val="VerbatimChar"/>
        </w:rPr>
        <w:t xml:space="preserve">ardeco_data</w:t>
      </w:r>
      <w:r>
        <w:t xml:space="preserve">) sia le</w:t>
      </w:r>
      <w:r>
        <w:t xml:space="preserve"> </w:t>
      </w:r>
      <w:r>
        <w:t xml:space="preserve">tabelle di etichette italiane (</w:t>
      </w:r>
      <w:r>
        <w:rPr>
          <w:rStyle w:val="VerbatimChar"/>
        </w:rPr>
        <w:t xml:space="preserve">var_labels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sex_labels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age_labels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sector_labels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group_labels</w:t>
      </w:r>
      <w:r>
        <w:t xml:space="preserve">). La dashboard legge le</w:t>
      </w:r>
      <w:r>
        <w:t xml:space="preserve"> </w:t>
      </w:r>
      <w:r>
        <w:t xml:space="preserve">etichette dal database e le serie dalle cache in memoria.</w:t>
      </w:r>
    </w:p>
    <w:bookmarkEnd w:id="28"/>
    <w:bookmarkStart w:id="29" w:name="note-di-lettura"/>
    <w:p>
      <w:pPr>
        <w:pStyle w:val="Heading2"/>
      </w:pPr>
      <w:r>
        <w:t xml:space="preserve">Note di lettura</w:t>
      </w:r>
    </w:p>
    <w:p>
      <w:pPr>
        <w:pStyle w:val="Compact"/>
        <w:numPr>
          <w:ilvl w:val="0"/>
          <w:numId w:val="1003"/>
        </w:numPr>
      </w:pPr>
      <w:r>
        <w:t xml:space="preserve">Le province sono identificate da codici NUTS-3 a cinque caratteri; il</w:t>
      </w:r>
      <w:r>
        <w:t xml:space="preserve"> </w:t>
      </w:r>
      <w:r>
        <w:t xml:space="preserve">totale regionale ITC4 proviene direttamente da ARDECO e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coincide</w:t>
      </w:r>
      <w:r>
        <w:t xml:space="preserve"> </w:t>
      </w:r>
      <w:r>
        <w:t xml:space="preserve">con la somma dei valori provinciali, per via dei trattamenti di</w:t>
      </w:r>
      <w:r>
        <w:t xml:space="preserve"> </w:t>
      </w:r>
      <w:r>
        <w:t xml:space="preserve">armonizzazione applicati dal JRC.</w:t>
      </w:r>
    </w:p>
    <w:p>
      <w:pPr>
        <w:pStyle w:val="Compact"/>
        <w:numPr>
          <w:ilvl w:val="0"/>
          <w:numId w:val="1003"/>
        </w:numPr>
      </w:pPr>
      <w:r>
        <w:t xml:space="preserve">Le serie a prezzi costanti usano l’anno base 2015; confronti di lungo</w:t>
      </w:r>
      <w:r>
        <w:t xml:space="preserve"> </w:t>
      </w:r>
      <w:r>
        <w:t xml:space="preserve">periodo vanno interpretati tenendo conto delle revisioni periodiche dei</w:t>
      </w:r>
      <w:r>
        <w:t xml:space="preserve"> </w:t>
      </w:r>
      <w:r>
        <w:t xml:space="preserve">deflatori.</w:t>
      </w:r>
    </w:p>
    <w:p>
      <w:pPr>
        <w:pStyle w:val="Compact"/>
        <w:numPr>
          <w:ilvl w:val="0"/>
          <w:numId w:val="1003"/>
        </w:numPr>
      </w:pPr>
      <w:r>
        <w:t xml:space="preserve">I filtri di dimensione (sesso, età, settore, ISCED11) compaiono solo per</w:t>
      </w:r>
      <w:r>
        <w:t xml:space="preserve"> </w:t>
      </w:r>
      <w:r>
        <w:t xml:space="preserve">le variabili che li supportano: l’assenza di un selettore indica che la</w:t>
      </w:r>
      <w:r>
        <w:t xml:space="preserve"> </w:t>
      </w:r>
      <w:r>
        <w:t xml:space="preserve">variabile è già aggregata su quella dimensione.</w:t>
      </w:r>
    </w:p>
    <w:p>
      <w:pPr>
        <w:pStyle w:val="Compact"/>
        <w:numPr>
          <w:ilvl w:val="0"/>
          <w:numId w:val="1003"/>
        </w:numPr>
      </w:pPr>
      <w:r>
        <w:t xml:space="preserve">Gli indicatori etichettati come</w:t>
      </w:r>
      <w:r>
        <w:t xml:space="preserve"> </w:t>
      </w:r>
      <w:r>
        <w:t xml:space="preserve">“derivati”</w:t>
      </w:r>
      <w:r>
        <w:t xml:space="preserve"> </w:t>
      </w:r>
      <w:r>
        <w:t xml:space="preserve">nelle descrizioni sono</w:t>
      </w:r>
      <w:r>
        <w:t xml:space="preserve"> </w:t>
      </w:r>
      <w:r>
        <w:t xml:space="preserve">calcolati dal JRC a partire da variabili di base e possono presentare</w:t>
      </w:r>
      <w:r>
        <w:t xml:space="preserve"> </w:t>
      </w:r>
      <w:r>
        <w:t xml:space="preserve">discontinuità in corrispondenza di revisioni dei denominatori.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Guida alla dashboard ARDECO Lombardia</dc:title>
  <dc:creator>Giampaolo Montaletti</dc:creator>
  <dc:language>it</dc:language>
  <cp:keywords/>
  <dcterms:created xsi:type="dcterms:W3CDTF">2026-04-15T08:46:16Z</dcterms:created>
  <dcterms:modified xsi:type="dcterms:W3CDTF">2026-04-15T08:46:16Z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fontsize">
    <vt:lpwstr>10pt</vt:lpwstr>
  </property>
  <property fmtid="{D5CDD505-2E9C-101B-9397-08002B2CF9AE}" pid="6" name="geometry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Indice</vt:lpwstr>
  </property>
</Properties>
</file>