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E744E" w14:textId="77777777" w:rsidR="001B09BA" w:rsidRPr="003B31A7" w:rsidRDefault="001B09BA" w:rsidP="003B31A7">
      <w:pPr>
        <w:spacing w:line="360" w:lineRule="auto"/>
        <w:jc w:val="center"/>
        <w:rPr>
          <w:rFonts w:ascii="Arial" w:hAnsi="Arial" w:cs="Arial"/>
          <w:b/>
          <w:bCs/>
          <w:sz w:val="40"/>
          <w:szCs w:val="40"/>
          <w:lang w:val="es-MX"/>
        </w:rPr>
      </w:pPr>
    </w:p>
    <w:p w14:paraId="3933C0CA" w14:textId="77777777" w:rsidR="001B09BA" w:rsidRPr="00663847" w:rsidRDefault="001B09BA" w:rsidP="003B31A7">
      <w:pPr>
        <w:spacing w:line="360" w:lineRule="auto"/>
        <w:jc w:val="center"/>
        <w:rPr>
          <w:rFonts w:ascii="Arial" w:hAnsi="Arial" w:cs="Arial"/>
          <w:b/>
          <w:bCs/>
          <w:sz w:val="48"/>
          <w:szCs w:val="48"/>
          <w:lang w:val="es-MX"/>
        </w:rPr>
      </w:pPr>
    </w:p>
    <w:p w14:paraId="11B6F7BE" w14:textId="195EC4FD" w:rsidR="0087711B" w:rsidRPr="0087711B" w:rsidRDefault="0087711B" w:rsidP="0046202E">
      <w:pPr>
        <w:spacing w:line="360" w:lineRule="auto"/>
        <w:jc w:val="center"/>
        <w:rPr>
          <w:rFonts w:ascii="Arial" w:hAnsi="Arial" w:cs="Arial"/>
          <w:b/>
          <w:bCs/>
          <w:sz w:val="40"/>
          <w:szCs w:val="40"/>
        </w:rPr>
      </w:pPr>
      <w:r w:rsidRPr="0087711B">
        <w:rPr>
          <w:rFonts w:ascii="Arial" w:hAnsi="Arial" w:cs="Arial"/>
          <w:b/>
          <w:bCs/>
          <w:sz w:val="40"/>
          <w:szCs w:val="40"/>
        </w:rPr>
        <w:t xml:space="preserve">Solemne </w:t>
      </w:r>
      <w:r w:rsidR="00B867D0">
        <w:rPr>
          <w:rFonts w:ascii="Arial" w:hAnsi="Arial" w:cs="Arial"/>
          <w:b/>
          <w:bCs/>
          <w:sz w:val="40"/>
          <w:szCs w:val="40"/>
        </w:rPr>
        <w:t>2</w:t>
      </w:r>
      <w:r w:rsidRPr="0087711B">
        <w:rPr>
          <w:rFonts w:ascii="Arial" w:hAnsi="Arial" w:cs="Arial"/>
          <w:b/>
          <w:bCs/>
          <w:sz w:val="40"/>
          <w:szCs w:val="40"/>
        </w:rPr>
        <w:t xml:space="preserve">: </w:t>
      </w:r>
      <w:r w:rsidR="00B867D0">
        <w:rPr>
          <w:rFonts w:ascii="Arial" w:hAnsi="Arial" w:cs="Arial"/>
          <w:b/>
          <w:bCs/>
          <w:sz w:val="40"/>
          <w:szCs w:val="40"/>
        </w:rPr>
        <w:t>Informe técnico integral</w:t>
      </w:r>
    </w:p>
    <w:p w14:paraId="1CB1783C" w14:textId="15DB1B67" w:rsidR="00E10A6D" w:rsidRPr="0087711B" w:rsidRDefault="0046202E" w:rsidP="0046202E">
      <w:pPr>
        <w:spacing w:line="360" w:lineRule="auto"/>
        <w:jc w:val="center"/>
        <w:rPr>
          <w:rFonts w:ascii="Arial" w:hAnsi="Arial" w:cs="Arial"/>
          <w:lang w:val="es-MX"/>
        </w:rPr>
      </w:pPr>
      <w:r w:rsidRPr="0087711B">
        <w:rPr>
          <w:rStyle w:val="fontstyle01"/>
          <w:rFonts w:ascii="Arial" w:hAnsi="Arial" w:cs="Arial"/>
          <w:sz w:val="36"/>
          <w:szCs w:val="36"/>
        </w:rPr>
        <w:t>Teletrabajo y productividad en la administración pública chilena (enero 2024 – enero 2025)</w:t>
      </w:r>
    </w:p>
    <w:p w14:paraId="5F5E5662" w14:textId="77777777" w:rsidR="00E10A6D" w:rsidRPr="003B31A7" w:rsidRDefault="00E10A6D" w:rsidP="003B31A7">
      <w:pPr>
        <w:spacing w:line="360" w:lineRule="auto"/>
        <w:rPr>
          <w:rFonts w:ascii="Arial" w:hAnsi="Arial" w:cs="Arial"/>
          <w:lang w:val="es-MX"/>
        </w:rPr>
      </w:pPr>
    </w:p>
    <w:p w14:paraId="4124DD78" w14:textId="77777777" w:rsidR="00E10A6D" w:rsidRPr="003B31A7" w:rsidRDefault="00E10A6D" w:rsidP="003B31A7">
      <w:pPr>
        <w:spacing w:line="360" w:lineRule="auto"/>
        <w:rPr>
          <w:rFonts w:ascii="Arial" w:hAnsi="Arial" w:cs="Arial"/>
          <w:lang w:val="es-MX"/>
        </w:rPr>
      </w:pPr>
    </w:p>
    <w:p w14:paraId="3E5125B4" w14:textId="77777777" w:rsidR="00E10A6D" w:rsidRPr="003B31A7" w:rsidRDefault="00E10A6D" w:rsidP="003B31A7">
      <w:pPr>
        <w:spacing w:line="360" w:lineRule="auto"/>
        <w:rPr>
          <w:rFonts w:ascii="Arial" w:hAnsi="Arial" w:cs="Arial"/>
          <w:lang w:val="es-MX"/>
        </w:rPr>
      </w:pPr>
    </w:p>
    <w:p w14:paraId="4A202D73" w14:textId="77777777" w:rsidR="00E10A6D" w:rsidRPr="003B31A7" w:rsidRDefault="00E10A6D" w:rsidP="003B31A7">
      <w:pPr>
        <w:spacing w:line="360" w:lineRule="auto"/>
        <w:rPr>
          <w:rFonts w:ascii="Arial" w:hAnsi="Arial" w:cs="Arial"/>
          <w:lang w:val="es-MX"/>
        </w:rPr>
      </w:pPr>
    </w:p>
    <w:p w14:paraId="4F7C846B" w14:textId="77777777" w:rsidR="00E10A6D" w:rsidRPr="003B31A7" w:rsidRDefault="00E10A6D" w:rsidP="003B31A7">
      <w:pPr>
        <w:spacing w:line="360" w:lineRule="auto"/>
        <w:rPr>
          <w:rFonts w:ascii="Arial" w:hAnsi="Arial" w:cs="Arial"/>
          <w:lang w:val="es-MX"/>
        </w:rPr>
      </w:pPr>
    </w:p>
    <w:p w14:paraId="76F0EF6F" w14:textId="77777777" w:rsidR="00E10A6D" w:rsidRPr="003B31A7" w:rsidRDefault="00E10A6D" w:rsidP="003B31A7">
      <w:pPr>
        <w:spacing w:line="360" w:lineRule="auto"/>
        <w:rPr>
          <w:rFonts w:ascii="Arial" w:hAnsi="Arial" w:cs="Arial"/>
          <w:sz w:val="28"/>
          <w:szCs w:val="28"/>
          <w:lang w:val="es-MX"/>
        </w:rPr>
      </w:pPr>
    </w:p>
    <w:p w14:paraId="141E6B1D" w14:textId="334AE5C7" w:rsidR="00E10A6D" w:rsidRPr="003B31A7" w:rsidRDefault="00E10A6D" w:rsidP="003B31A7">
      <w:pPr>
        <w:spacing w:line="360" w:lineRule="auto"/>
        <w:jc w:val="right"/>
        <w:rPr>
          <w:rFonts w:ascii="Arial" w:hAnsi="Arial" w:cs="Arial"/>
          <w:b/>
          <w:bCs/>
          <w:sz w:val="28"/>
          <w:szCs w:val="28"/>
          <w:lang w:val="es-MX"/>
        </w:rPr>
      </w:pPr>
      <w:r w:rsidRPr="003B31A7">
        <w:rPr>
          <w:rFonts w:ascii="Arial" w:hAnsi="Arial" w:cs="Arial"/>
          <w:b/>
          <w:bCs/>
          <w:sz w:val="28"/>
          <w:szCs w:val="28"/>
          <w:lang w:val="es-MX"/>
        </w:rPr>
        <w:t xml:space="preserve">Profesor: </w:t>
      </w:r>
      <w:r w:rsidR="003434B6">
        <w:rPr>
          <w:rFonts w:ascii="Arial" w:hAnsi="Arial" w:cs="Arial"/>
          <w:b/>
          <w:bCs/>
          <w:sz w:val="28"/>
          <w:szCs w:val="28"/>
          <w:lang w:val="es-MX"/>
        </w:rPr>
        <w:t>Pablo Chandía B.</w:t>
      </w:r>
    </w:p>
    <w:p w14:paraId="2330825C" w14:textId="11002F74" w:rsidR="001D7BF2" w:rsidRPr="001D7BF2" w:rsidRDefault="00E10A6D" w:rsidP="001D7BF2">
      <w:pPr>
        <w:spacing w:line="360" w:lineRule="auto"/>
        <w:jc w:val="right"/>
        <w:rPr>
          <w:rFonts w:ascii="Arial" w:hAnsi="Arial" w:cs="Arial"/>
          <w:b/>
          <w:bCs/>
          <w:sz w:val="28"/>
          <w:szCs w:val="28"/>
          <w:lang w:val="es-MX"/>
        </w:rPr>
      </w:pPr>
      <w:r w:rsidRPr="003B31A7">
        <w:rPr>
          <w:rFonts w:ascii="Arial" w:hAnsi="Arial" w:cs="Arial"/>
          <w:b/>
          <w:bCs/>
          <w:sz w:val="28"/>
          <w:szCs w:val="28"/>
          <w:lang w:val="es-MX"/>
        </w:rPr>
        <w:t>Estudiante</w:t>
      </w:r>
      <w:r w:rsidR="001D7BF2">
        <w:rPr>
          <w:rFonts w:ascii="Arial" w:hAnsi="Arial" w:cs="Arial"/>
          <w:b/>
          <w:bCs/>
          <w:sz w:val="28"/>
          <w:szCs w:val="28"/>
          <w:lang w:val="es-MX"/>
        </w:rPr>
        <w:t>s</w:t>
      </w:r>
      <w:r w:rsidRPr="003B31A7">
        <w:rPr>
          <w:rFonts w:ascii="Arial" w:hAnsi="Arial" w:cs="Arial"/>
          <w:b/>
          <w:bCs/>
          <w:sz w:val="28"/>
          <w:szCs w:val="28"/>
          <w:lang w:val="es-MX"/>
        </w:rPr>
        <w:t xml:space="preserve">: </w:t>
      </w:r>
      <w:r w:rsidR="001D7BF2" w:rsidRPr="001D7BF2">
        <w:rPr>
          <w:rFonts w:ascii="Arial" w:hAnsi="Arial" w:cs="Arial"/>
          <w:b/>
          <w:bCs/>
          <w:sz w:val="28"/>
          <w:szCs w:val="28"/>
          <w:lang w:val="es-MX"/>
        </w:rPr>
        <w:t>Marina Zamora H.</w:t>
      </w:r>
    </w:p>
    <w:p w14:paraId="1705D805" w14:textId="77777777" w:rsidR="001D7BF2" w:rsidRPr="001D7BF2" w:rsidRDefault="001D7BF2" w:rsidP="001D7BF2">
      <w:pPr>
        <w:spacing w:line="360" w:lineRule="auto"/>
        <w:jc w:val="right"/>
        <w:rPr>
          <w:rFonts w:ascii="Arial" w:hAnsi="Arial" w:cs="Arial"/>
          <w:b/>
          <w:bCs/>
          <w:sz w:val="28"/>
          <w:szCs w:val="28"/>
          <w:lang w:val="es-MX"/>
        </w:rPr>
      </w:pPr>
      <w:r w:rsidRPr="001D7BF2">
        <w:rPr>
          <w:rFonts w:ascii="Arial" w:hAnsi="Arial" w:cs="Arial"/>
          <w:b/>
          <w:bCs/>
          <w:sz w:val="28"/>
          <w:szCs w:val="28"/>
          <w:lang w:val="es-MX"/>
        </w:rPr>
        <w:t>Gabriel González Z.</w:t>
      </w:r>
    </w:p>
    <w:p w14:paraId="6DFFFFB0" w14:textId="563CEE10" w:rsidR="00E10A6D" w:rsidRDefault="001D7BF2" w:rsidP="001D7BF2">
      <w:pPr>
        <w:spacing w:line="360" w:lineRule="auto"/>
        <w:jc w:val="right"/>
        <w:rPr>
          <w:rFonts w:ascii="Arial" w:hAnsi="Arial" w:cs="Arial"/>
          <w:b/>
          <w:bCs/>
          <w:sz w:val="28"/>
          <w:szCs w:val="28"/>
          <w:lang w:val="es-MX"/>
        </w:rPr>
      </w:pPr>
      <w:r w:rsidRPr="001D7BF2">
        <w:rPr>
          <w:rFonts w:ascii="Arial" w:hAnsi="Arial" w:cs="Arial"/>
          <w:b/>
          <w:bCs/>
          <w:sz w:val="28"/>
          <w:szCs w:val="28"/>
          <w:lang w:val="es-MX"/>
        </w:rPr>
        <w:t>Cristóbal Pizarro R.</w:t>
      </w:r>
    </w:p>
    <w:p w14:paraId="4F6B6EFE" w14:textId="06EB5CB2" w:rsidR="0076121E" w:rsidRPr="003B31A7" w:rsidRDefault="00B867D0" w:rsidP="001D7BF2">
      <w:pPr>
        <w:spacing w:line="360" w:lineRule="auto"/>
        <w:jc w:val="right"/>
        <w:rPr>
          <w:rFonts w:ascii="Arial" w:hAnsi="Arial" w:cs="Arial"/>
          <w:b/>
          <w:bCs/>
          <w:sz w:val="28"/>
          <w:szCs w:val="28"/>
          <w:lang w:val="es-MX"/>
        </w:rPr>
      </w:pPr>
      <w:r>
        <w:rPr>
          <w:rFonts w:ascii="Arial" w:hAnsi="Arial" w:cs="Arial"/>
          <w:b/>
          <w:bCs/>
          <w:sz w:val="28"/>
          <w:szCs w:val="28"/>
          <w:lang w:val="es-MX"/>
        </w:rPr>
        <w:t>Gonzalo Montoya R.</w:t>
      </w:r>
    </w:p>
    <w:p w14:paraId="11010012" w14:textId="3BDB98D7" w:rsidR="00E10A6D" w:rsidRPr="003B31A7" w:rsidRDefault="00A51E65" w:rsidP="003B31A7">
      <w:pPr>
        <w:spacing w:line="360" w:lineRule="auto"/>
        <w:jc w:val="right"/>
        <w:rPr>
          <w:rFonts w:ascii="Arial" w:hAnsi="Arial" w:cs="Arial"/>
          <w:b/>
          <w:bCs/>
          <w:sz w:val="28"/>
          <w:szCs w:val="28"/>
          <w:lang w:val="es-MX"/>
        </w:rPr>
      </w:pPr>
      <w:r>
        <w:rPr>
          <w:rFonts w:ascii="Arial" w:hAnsi="Arial" w:cs="Arial"/>
          <w:b/>
          <w:bCs/>
          <w:sz w:val="28"/>
          <w:szCs w:val="28"/>
          <w:lang w:val="es-MX"/>
        </w:rPr>
        <w:t>Asignatura</w:t>
      </w:r>
      <w:r w:rsidR="00E10A6D" w:rsidRPr="003B31A7">
        <w:rPr>
          <w:rFonts w:ascii="Arial" w:hAnsi="Arial" w:cs="Arial"/>
          <w:b/>
          <w:bCs/>
          <w:sz w:val="28"/>
          <w:szCs w:val="28"/>
          <w:lang w:val="es-MX"/>
        </w:rPr>
        <w:t xml:space="preserve">: </w:t>
      </w:r>
      <w:r>
        <w:rPr>
          <w:rFonts w:ascii="Arial" w:hAnsi="Arial" w:cs="Arial"/>
          <w:b/>
          <w:bCs/>
          <w:sz w:val="28"/>
          <w:szCs w:val="28"/>
          <w:lang w:val="es-MX"/>
        </w:rPr>
        <w:t>Análisis cuantitativo</w:t>
      </w:r>
    </w:p>
    <w:p w14:paraId="6E6C7333" w14:textId="59A903EC" w:rsidR="00E10A6D" w:rsidRPr="003B31A7" w:rsidRDefault="00F8010F" w:rsidP="003B31A7">
      <w:pPr>
        <w:spacing w:line="360" w:lineRule="auto"/>
        <w:jc w:val="right"/>
        <w:rPr>
          <w:rFonts w:ascii="Arial" w:hAnsi="Arial" w:cs="Arial"/>
          <w:b/>
          <w:bCs/>
          <w:sz w:val="28"/>
          <w:szCs w:val="28"/>
          <w:lang w:val="es-MX"/>
        </w:rPr>
      </w:pPr>
      <w:r>
        <w:rPr>
          <w:rFonts w:ascii="Arial" w:hAnsi="Arial" w:cs="Arial"/>
          <w:b/>
          <w:bCs/>
          <w:sz w:val="28"/>
          <w:szCs w:val="28"/>
          <w:lang w:val="es-MX"/>
        </w:rPr>
        <w:t xml:space="preserve">Solemne </w:t>
      </w:r>
      <w:r w:rsidR="00B867D0">
        <w:rPr>
          <w:rFonts w:ascii="Arial" w:hAnsi="Arial" w:cs="Arial"/>
          <w:b/>
          <w:bCs/>
          <w:sz w:val="28"/>
          <w:szCs w:val="28"/>
          <w:lang w:val="es-MX"/>
        </w:rPr>
        <w:t>I</w:t>
      </w:r>
      <w:r>
        <w:rPr>
          <w:rFonts w:ascii="Arial" w:hAnsi="Arial" w:cs="Arial"/>
          <w:b/>
          <w:bCs/>
          <w:sz w:val="28"/>
          <w:szCs w:val="28"/>
          <w:lang w:val="es-MX"/>
        </w:rPr>
        <w:t>I</w:t>
      </w:r>
      <w:r w:rsidR="00E10A6D" w:rsidRPr="003B31A7">
        <w:rPr>
          <w:rFonts w:ascii="Arial" w:hAnsi="Arial" w:cs="Arial"/>
          <w:b/>
          <w:bCs/>
          <w:sz w:val="28"/>
          <w:szCs w:val="28"/>
          <w:lang w:val="es-MX"/>
        </w:rPr>
        <w:t xml:space="preserve"> – semana </w:t>
      </w:r>
      <w:r w:rsidR="00B867D0">
        <w:rPr>
          <w:rFonts w:ascii="Arial" w:hAnsi="Arial" w:cs="Arial"/>
          <w:b/>
          <w:bCs/>
          <w:sz w:val="28"/>
          <w:szCs w:val="28"/>
          <w:lang w:val="es-MX"/>
        </w:rPr>
        <w:t>13</w:t>
      </w:r>
    </w:p>
    <w:p w14:paraId="518C625D" w14:textId="77777777" w:rsidR="00E10A6D" w:rsidRDefault="00E10A6D" w:rsidP="003B31A7">
      <w:pPr>
        <w:spacing w:line="360" w:lineRule="auto"/>
        <w:jc w:val="right"/>
        <w:rPr>
          <w:rFonts w:ascii="Arial" w:hAnsi="Arial" w:cs="Arial"/>
          <w:b/>
          <w:bCs/>
          <w:sz w:val="28"/>
          <w:szCs w:val="28"/>
          <w:lang w:val="es-MX"/>
        </w:rPr>
      </w:pPr>
      <w:r w:rsidRPr="003B31A7">
        <w:rPr>
          <w:rFonts w:ascii="Arial" w:hAnsi="Arial" w:cs="Arial"/>
          <w:b/>
          <w:bCs/>
          <w:sz w:val="28"/>
          <w:szCs w:val="28"/>
          <w:lang w:val="es-MX"/>
        </w:rPr>
        <w:t>Universidad San Sebastián</w:t>
      </w:r>
    </w:p>
    <w:p w14:paraId="7C481235" w14:textId="77777777" w:rsidR="00001821" w:rsidRPr="003B31A7" w:rsidRDefault="00001821" w:rsidP="003B31A7">
      <w:pPr>
        <w:spacing w:line="360" w:lineRule="auto"/>
        <w:jc w:val="right"/>
        <w:rPr>
          <w:rFonts w:ascii="Arial" w:hAnsi="Arial" w:cs="Arial"/>
          <w:b/>
          <w:bCs/>
          <w:sz w:val="28"/>
          <w:szCs w:val="28"/>
          <w:lang w:val="es-MX"/>
        </w:rPr>
      </w:pPr>
    </w:p>
    <w:p w14:paraId="70324E10" w14:textId="5DAA1272" w:rsidR="00580E5F" w:rsidRPr="00580E5F" w:rsidRDefault="00B867D0" w:rsidP="00580E5F">
      <w:pPr>
        <w:pStyle w:val="Prrafodelista"/>
        <w:numPr>
          <w:ilvl w:val="0"/>
          <w:numId w:val="6"/>
        </w:numPr>
        <w:spacing w:line="360" w:lineRule="auto"/>
        <w:jc w:val="both"/>
        <w:rPr>
          <w:rFonts w:ascii="Arial" w:hAnsi="Arial" w:cs="Arial"/>
          <w:b/>
          <w:bCs/>
        </w:rPr>
      </w:pPr>
      <w:r>
        <w:rPr>
          <w:rFonts w:ascii="Arial" w:hAnsi="Arial" w:cs="Arial"/>
          <w:b/>
          <w:bCs/>
        </w:rPr>
        <w:lastRenderedPageBreak/>
        <w:t>Contextualización y evolución del proyecto de investigación</w:t>
      </w:r>
    </w:p>
    <w:p w14:paraId="65E1DDB7" w14:textId="31AFBE20" w:rsidR="00AB012B" w:rsidRPr="00AB012B" w:rsidRDefault="00AB012B" w:rsidP="00AB012B">
      <w:pPr>
        <w:spacing w:line="360" w:lineRule="auto"/>
        <w:jc w:val="both"/>
        <w:rPr>
          <w:rFonts w:ascii="Arial" w:hAnsi="Arial" w:cs="Arial"/>
          <w:b/>
          <w:bCs/>
        </w:rPr>
      </w:pPr>
      <w:r w:rsidRPr="00AB012B">
        <w:rPr>
          <w:rFonts w:ascii="Arial" w:hAnsi="Arial" w:cs="Arial"/>
          <w:b/>
          <w:bCs/>
        </w:rPr>
        <w:t>Evolución del problema de investigación</w:t>
      </w:r>
    </w:p>
    <w:p w14:paraId="25039817" w14:textId="77777777" w:rsidR="00AB012B" w:rsidRPr="00AB012B" w:rsidRDefault="00AB012B" w:rsidP="00AB012B">
      <w:pPr>
        <w:spacing w:line="360" w:lineRule="auto"/>
        <w:jc w:val="both"/>
        <w:rPr>
          <w:rFonts w:ascii="Arial" w:hAnsi="Arial" w:cs="Arial"/>
        </w:rPr>
      </w:pPr>
      <w:r w:rsidRPr="00AB012B">
        <w:rPr>
          <w:rFonts w:ascii="Arial" w:hAnsi="Arial" w:cs="Arial"/>
        </w:rPr>
        <w:t xml:space="preserve">El trabajo comenzó con el interés de evaluar de qué manera el teletrabajo influye en la productividad de los funcionarios públicos en Chile, en un escenario marcado por los cambios normativos recientes (Ley </w:t>
      </w:r>
      <w:proofErr w:type="spellStart"/>
      <w:r w:rsidRPr="00AB012B">
        <w:rPr>
          <w:rFonts w:ascii="Arial" w:hAnsi="Arial" w:cs="Arial"/>
        </w:rPr>
        <w:t>N°</w:t>
      </w:r>
      <w:proofErr w:type="spellEnd"/>
      <w:r w:rsidRPr="00AB012B">
        <w:rPr>
          <w:rFonts w:ascii="Arial" w:hAnsi="Arial" w:cs="Arial"/>
        </w:rPr>
        <w:t xml:space="preserve"> 21.220 y Ley </w:t>
      </w:r>
      <w:proofErr w:type="spellStart"/>
      <w:r w:rsidRPr="00AB012B">
        <w:rPr>
          <w:rFonts w:ascii="Arial" w:hAnsi="Arial" w:cs="Arial"/>
        </w:rPr>
        <w:t>N°</w:t>
      </w:r>
      <w:proofErr w:type="spellEnd"/>
      <w:r w:rsidRPr="00AB012B">
        <w:rPr>
          <w:rFonts w:ascii="Arial" w:hAnsi="Arial" w:cs="Arial"/>
        </w:rPr>
        <w:t xml:space="preserve"> 21.645). En una primera fase se empleó un modelo de regresión lineal (MCO), considerando la productividad como un índice continuo y relacionándola con la cantidad de días de teletrabajo. A este esquema inicial se incorporaron variables de control como edad, género y nivel educativo, lo que permitió precisar los resultados. Los hallazgos mostraron una relación positiva y estadísticamente significativa, confirmando que el teletrabajo se asocia a mayores niveles de productividad y que este efecto era más notorio en trabajadores con formación universitaria.</w:t>
      </w:r>
    </w:p>
    <w:p w14:paraId="15EE5F55" w14:textId="77777777" w:rsidR="00AB012B" w:rsidRPr="00AB012B" w:rsidRDefault="00AB012B" w:rsidP="00AB012B">
      <w:pPr>
        <w:spacing w:line="360" w:lineRule="auto"/>
        <w:jc w:val="both"/>
        <w:rPr>
          <w:rFonts w:ascii="Arial" w:hAnsi="Arial" w:cs="Arial"/>
        </w:rPr>
      </w:pPr>
      <w:r w:rsidRPr="00AB012B">
        <w:rPr>
          <w:rFonts w:ascii="Arial" w:hAnsi="Arial" w:cs="Arial"/>
        </w:rPr>
        <w:t>En una etapa posterior se optó por avanzar hacia un modelo de regresión logística (</w:t>
      </w:r>
      <w:proofErr w:type="spellStart"/>
      <w:r w:rsidRPr="00AB012B">
        <w:rPr>
          <w:rFonts w:ascii="Arial" w:hAnsi="Arial" w:cs="Arial"/>
        </w:rPr>
        <w:t>Logit</w:t>
      </w:r>
      <w:proofErr w:type="spellEnd"/>
      <w:r w:rsidRPr="00AB012B">
        <w:rPr>
          <w:rFonts w:ascii="Arial" w:hAnsi="Arial" w:cs="Arial"/>
        </w:rPr>
        <w:t>), redefiniendo la variable dependiente como dicotómica (alta productividad versus baja productividad). Este cambio respondió a la necesidad de estudiar no solo incrementos en una escala continua, sino la probabilidad de que un funcionario alcance un nivel de desempeño considerado suficiente o destacado. De este modo, la investigación evolucionó desde un análisis exploratorio con MCO a un modelo con mayor énfasis en la capacidad predictiva y en la clasificación de casos.</w:t>
      </w:r>
    </w:p>
    <w:p w14:paraId="74CC0376" w14:textId="77777777" w:rsidR="00AB012B" w:rsidRPr="00AB012B" w:rsidRDefault="00AB012B" w:rsidP="00AB012B">
      <w:pPr>
        <w:spacing w:line="360" w:lineRule="auto"/>
        <w:jc w:val="both"/>
        <w:rPr>
          <w:rFonts w:ascii="Arial" w:hAnsi="Arial" w:cs="Arial"/>
          <w:b/>
          <w:bCs/>
        </w:rPr>
      </w:pPr>
      <w:r w:rsidRPr="00AB012B">
        <w:rPr>
          <w:rFonts w:ascii="Arial" w:hAnsi="Arial" w:cs="Arial"/>
          <w:b/>
          <w:bCs/>
        </w:rPr>
        <w:t>Justificación técnica de la transición metodológica</w:t>
      </w:r>
    </w:p>
    <w:p w14:paraId="51ADBFED" w14:textId="77777777" w:rsidR="00AB012B" w:rsidRPr="00AB012B" w:rsidRDefault="00AB012B" w:rsidP="00AB012B">
      <w:pPr>
        <w:spacing w:line="360" w:lineRule="auto"/>
        <w:jc w:val="both"/>
        <w:rPr>
          <w:rFonts w:ascii="Arial" w:hAnsi="Arial" w:cs="Arial"/>
        </w:rPr>
      </w:pPr>
      <w:r w:rsidRPr="00AB012B">
        <w:rPr>
          <w:rFonts w:ascii="Arial" w:hAnsi="Arial" w:cs="Arial"/>
        </w:rPr>
        <w:t xml:space="preserve">El uso de un modelo </w:t>
      </w:r>
      <w:proofErr w:type="spellStart"/>
      <w:r w:rsidRPr="00AB012B">
        <w:rPr>
          <w:rFonts w:ascii="Arial" w:hAnsi="Arial" w:cs="Arial"/>
        </w:rPr>
        <w:t>Logit</w:t>
      </w:r>
      <w:proofErr w:type="spellEnd"/>
      <w:r w:rsidRPr="00AB012B">
        <w:rPr>
          <w:rFonts w:ascii="Arial" w:hAnsi="Arial" w:cs="Arial"/>
        </w:rPr>
        <w:t xml:space="preserve"> se justifica en dos dimensiones principales:</w:t>
      </w:r>
    </w:p>
    <w:p w14:paraId="11A8BCE5" w14:textId="77777777" w:rsidR="00AB012B" w:rsidRPr="00AB012B" w:rsidRDefault="00AB012B" w:rsidP="00AB012B">
      <w:pPr>
        <w:numPr>
          <w:ilvl w:val="0"/>
          <w:numId w:val="25"/>
        </w:numPr>
        <w:spacing w:line="360" w:lineRule="auto"/>
        <w:jc w:val="both"/>
        <w:rPr>
          <w:rFonts w:ascii="Arial" w:hAnsi="Arial" w:cs="Arial"/>
        </w:rPr>
      </w:pPr>
      <w:r w:rsidRPr="00AB012B">
        <w:rPr>
          <w:rFonts w:ascii="Arial" w:hAnsi="Arial" w:cs="Arial"/>
          <w:b/>
          <w:bCs/>
        </w:rPr>
        <w:t>Pertinencia práctica de la variable dependiente</w:t>
      </w:r>
      <w:r w:rsidRPr="00AB012B">
        <w:rPr>
          <w:rFonts w:ascii="Arial" w:hAnsi="Arial" w:cs="Arial"/>
        </w:rPr>
        <w:t>: en la gestión pública, muchas decisiones no se toman sobre valores exactos, sino sobre si un funcionario alcanza o no un estándar de productividad. Por ello, fijar un umbral (70 puntos en la escala de productividad) y trabajar con una variable dicotómica permitió al modelo responder mejor a la lógica de la administración.</w:t>
      </w:r>
    </w:p>
    <w:p w14:paraId="11634FD9" w14:textId="77777777" w:rsidR="00AB012B" w:rsidRPr="00AB012B" w:rsidRDefault="00AB012B" w:rsidP="00AB012B">
      <w:pPr>
        <w:numPr>
          <w:ilvl w:val="0"/>
          <w:numId w:val="25"/>
        </w:numPr>
        <w:spacing w:line="360" w:lineRule="auto"/>
        <w:jc w:val="both"/>
        <w:rPr>
          <w:rFonts w:ascii="Arial" w:hAnsi="Arial" w:cs="Arial"/>
        </w:rPr>
      </w:pPr>
      <w:r w:rsidRPr="00AB012B">
        <w:rPr>
          <w:rFonts w:ascii="Arial" w:hAnsi="Arial" w:cs="Arial"/>
          <w:b/>
          <w:bCs/>
        </w:rPr>
        <w:t>Limitaciones del MCO frente a probabilidades</w:t>
      </w:r>
      <w:r w:rsidRPr="00AB012B">
        <w:rPr>
          <w:rFonts w:ascii="Arial" w:hAnsi="Arial" w:cs="Arial"/>
        </w:rPr>
        <w:t xml:space="preserve">: la regresión lineal entrega estimaciones de variación continua, pero no resulta adecuada para modelar </w:t>
      </w:r>
      <w:r w:rsidRPr="00AB012B">
        <w:rPr>
          <w:rFonts w:ascii="Arial" w:hAnsi="Arial" w:cs="Arial"/>
        </w:rPr>
        <w:lastRenderedPageBreak/>
        <w:t xml:space="preserve">probabilidades, pues puede generar valores fuera del rango 0-1. El modelo </w:t>
      </w:r>
      <w:proofErr w:type="spellStart"/>
      <w:r w:rsidRPr="00AB012B">
        <w:rPr>
          <w:rFonts w:ascii="Arial" w:hAnsi="Arial" w:cs="Arial"/>
        </w:rPr>
        <w:t>Logit</w:t>
      </w:r>
      <w:proofErr w:type="spellEnd"/>
      <w:r w:rsidRPr="00AB012B">
        <w:rPr>
          <w:rFonts w:ascii="Arial" w:hAnsi="Arial" w:cs="Arial"/>
        </w:rPr>
        <w:t>, en cambio, ofrece una representación más realista de la relación entre las variables, incorporando además interacciones que reflejan diferencias entre grupos. En este caso, se obtuvieron indicadores de ajuste más favorables (AIC y BIC menores) y una capacidad de clasificación del 75%, lo que mejoró de manera apreciable la precisión frente al modelo alternativo.</w:t>
      </w:r>
    </w:p>
    <w:p w14:paraId="29FAE338" w14:textId="77777777" w:rsidR="00AB012B" w:rsidRPr="00AB012B" w:rsidRDefault="00AB012B" w:rsidP="00AB012B">
      <w:pPr>
        <w:spacing w:line="360" w:lineRule="auto"/>
        <w:jc w:val="both"/>
        <w:rPr>
          <w:rFonts w:ascii="Arial" w:hAnsi="Arial" w:cs="Arial"/>
          <w:b/>
          <w:bCs/>
        </w:rPr>
      </w:pPr>
      <w:r w:rsidRPr="00AB012B">
        <w:rPr>
          <w:rFonts w:ascii="Arial" w:hAnsi="Arial" w:cs="Arial"/>
          <w:b/>
          <w:bCs/>
        </w:rPr>
        <w:t>Relevancia práctica para la administración pública</w:t>
      </w:r>
    </w:p>
    <w:p w14:paraId="18EB9557" w14:textId="77777777" w:rsidR="00AB012B" w:rsidRPr="00AB012B" w:rsidRDefault="00AB012B" w:rsidP="00AB012B">
      <w:pPr>
        <w:spacing w:line="360" w:lineRule="auto"/>
        <w:jc w:val="both"/>
        <w:rPr>
          <w:rFonts w:ascii="Arial" w:hAnsi="Arial" w:cs="Arial"/>
        </w:rPr>
      </w:pPr>
      <w:r w:rsidRPr="00AB012B">
        <w:rPr>
          <w:rFonts w:ascii="Arial" w:hAnsi="Arial" w:cs="Arial"/>
        </w:rPr>
        <w:t>Más allá de los avances metodológicos, los resultados del proyecto tienen un valor directo para la gestión pública. El análisis permite comprender en qué condiciones el teletrabajo se asocia a mayores niveles de productividad y cómo factores como la educación modulan ese efecto. Estos hallazgos pueden contribuir a:</w:t>
      </w:r>
    </w:p>
    <w:p w14:paraId="20CCF4B6" w14:textId="77777777" w:rsidR="00AB012B" w:rsidRPr="00AB012B" w:rsidRDefault="00AB012B" w:rsidP="00AB012B">
      <w:pPr>
        <w:numPr>
          <w:ilvl w:val="0"/>
          <w:numId w:val="26"/>
        </w:numPr>
        <w:spacing w:line="360" w:lineRule="auto"/>
        <w:jc w:val="both"/>
        <w:rPr>
          <w:rFonts w:ascii="Arial" w:hAnsi="Arial" w:cs="Arial"/>
        </w:rPr>
      </w:pPr>
      <w:r w:rsidRPr="00AB012B">
        <w:rPr>
          <w:rFonts w:ascii="Arial" w:hAnsi="Arial" w:cs="Arial"/>
        </w:rPr>
        <w:t>Diseñar políticas de recursos humanos que consideren la diversidad de perfiles y potencien el teletrabajo en aquellos segmentos donde tiene un mayor impacto.</w:t>
      </w:r>
    </w:p>
    <w:p w14:paraId="71D4B63E" w14:textId="77777777" w:rsidR="00AB012B" w:rsidRPr="00AB012B" w:rsidRDefault="00AB012B" w:rsidP="00AB012B">
      <w:pPr>
        <w:numPr>
          <w:ilvl w:val="0"/>
          <w:numId w:val="26"/>
        </w:numPr>
        <w:spacing w:line="360" w:lineRule="auto"/>
        <w:jc w:val="both"/>
        <w:rPr>
          <w:rFonts w:ascii="Arial" w:hAnsi="Arial" w:cs="Arial"/>
        </w:rPr>
      </w:pPr>
      <w:r w:rsidRPr="00AB012B">
        <w:rPr>
          <w:rFonts w:ascii="Arial" w:hAnsi="Arial" w:cs="Arial"/>
        </w:rPr>
        <w:t>Respaldar decisiones normativas y administrativas, entregando evidencia objetiva que permita ajustar reglamentos internos sobre modalidades híbridas, horarios flexibles o asignación de infraestructura tecnológica.</w:t>
      </w:r>
    </w:p>
    <w:p w14:paraId="08605759" w14:textId="77777777" w:rsidR="00AB012B" w:rsidRPr="00AB012B" w:rsidRDefault="00AB012B" w:rsidP="00AB012B">
      <w:pPr>
        <w:numPr>
          <w:ilvl w:val="0"/>
          <w:numId w:val="26"/>
        </w:numPr>
        <w:spacing w:line="360" w:lineRule="auto"/>
        <w:jc w:val="both"/>
        <w:rPr>
          <w:rFonts w:ascii="Arial" w:hAnsi="Arial" w:cs="Arial"/>
        </w:rPr>
      </w:pPr>
      <w:r w:rsidRPr="00AB012B">
        <w:rPr>
          <w:rFonts w:ascii="Arial" w:hAnsi="Arial" w:cs="Arial"/>
        </w:rPr>
        <w:t>Mejorar la eficiencia institucional, ofreciendo criterios para equilibrar la flexibilidad laboral con el cumplimiento de metas y objetivos de los servicios públicos.</w:t>
      </w:r>
    </w:p>
    <w:p w14:paraId="73039751" w14:textId="77777777" w:rsidR="00AB012B" w:rsidRPr="00AB012B" w:rsidRDefault="00AB012B" w:rsidP="00AB012B">
      <w:pPr>
        <w:spacing w:line="360" w:lineRule="auto"/>
        <w:jc w:val="both"/>
        <w:rPr>
          <w:rFonts w:ascii="Arial" w:hAnsi="Arial" w:cs="Arial"/>
        </w:rPr>
      </w:pPr>
      <w:r w:rsidRPr="00AB012B">
        <w:rPr>
          <w:rFonts w:ascii="Arial" w:hAnsi="Arial" w:cs="Arial"/>
        </w:rPr>
        <w:t xml:space="preserve">En síntesis, el tránsito desde el uso de MCO hacia un modelo </w:t>
      </w:r>
      <w:proofErr w:type="spellStart"/>
      <w:r w:rsidRPr="00AB012B">
        <w:rPr>
          <w:rFonts w:ascii="Arial" w:hAnsi="Arial" w:cs="Arial"/>
        </w:rPr>
        <w:t>Logit</w:t>
      </w:r>
      <w:proofErr w:type="spellEnd"/>
      <w:r w:rsidRPr="00AB012B">
        <w:rPr>
          <w:rFonts w:ascii="Arial" w:hAnsi="Arial" w:cs="Arial"/>
        </w:rPr>
        <w:t xml:space="preserve"> refleja tanto el aprendizaje acumulado en el análisis cuantitativo como la intención de aportar evidencia útil para la modernización del empleo público y el diseño de políticas basadas en datos.</w:t>
      </w:r>
    </w:p>
    <w:p w14:paraId="5F1D6FD2" w14:textId="6BD10226" w:rsidR="007B0B67" w:rsidRPr="00AB012B" w:rsidRDefault="007B0B67" w:rsidP="003C1D1F">
      <w:pPr>
        <w:spacing w:line="360" w:lineRule="auto"/>
        <w:jc w:val="both"/>
        <w:rPr>
          <w:rFonts w:ascii="Arial" w:hAnsi="Arial" w:cs="Arial"/>
        </w:rPr>
      </w:pPr>
    </w:p>
    <w:p w14:paraId="414EB58E" w14:textId="77777777" w:rsidR="00056544" w:rsidRDefault="00056544" w:rsidP="003C1D1F">
      <w:pPr>
        <w:spacing w:line="360" w:lineRule="auto"/>
        <w:jc w:val="both"/>
        <w:rPr>
          <w:rFonts w:ascii="Arial" w:hAnsi="Arial" w:cs="Arial"/>
        </w:rPr>
      </w:pPr>
    </w:p>
    <w:p w14:paraId="6F6BD280" w14:textId="77777777" w:rsidR="00001821" w:rsidRDefault="00001821" w:rsidP="003C1D1F">
      <w:pPr>
        <w:spacing w:line="360" w:lineRule="auto"/>
        <w:jc w:val="both"/>
        <w:rPr>
          <w:rFonts w:ascii="Arial" w:hAnsi="Arial" w:cs="Arial"/>
        </w:rPr>
      </w:pPr>
    </w:p>
    <w:p w14:paraId="574F9562" w14:textId="3043180A" w:rsidR="007B0B67" w:rsidRDefault="00B867D0" w:rsidP="007B0B67">
      <w:pPr>
        <w:pStyle w:val="Prrafodelista"/>
        <w:numPr>
          <w:ilvl w:val="0"/>
          <w:numId w:val="6"/>
        </w:numPr>
        <w:spacing w:line="360" w:lineRule="auto"/>
        <w:jc w:val="both"/>
        <w:rPr>
          <w:rFonts w:ascii="Arial" w:hAnsi="Arial" w:cs="Arial"/>
          <w:b/>
          <w:bCs/>
        </w:rPr>
      </w:pPr>
      <w:r w:rsidRPr="00B867D0">
        <w:rPr>
          <w:rFonts w:ascii="Arial" w:hAnsi="Arial" w:cs="Arial"/>
          <w:b/>
          <w:bCs/>
        </w:rPr>
        <w:t>Especificación Metodológica y Construcción de Scripts</w:t>
      </w:r>
    </w:p>
    <w:p w14:paraId="6EB80E9F" w14:textId="77777777" w:rsidR="007779C2" w:rsidRPr="007779C2" w:rsidRDefault="007779C2" w:rsidP="007779C2">
      <w:pPr>
        <w:spacing w:line="360" w:lineRule="auto"/>
        <w:jc w:val="both"/>
        <w:rPr>
          <w:rFonts w:ascii="Arial" w:hAnsi="Arial" w:cs="Arial"/>
          <w:b/>
          <w:bCs/>
        </w:rPr>
      </w:pPr>
      <w:r w:rsidRPr="007779C2">
        <w:rPr>
          <w:rFonts w:ascii="Arial" w:hAnsi="Arial" w:cs="Arial"/>
          <w:b/>
          <w:bCs/>
        </w:rPr>
        <w:lastRenderedPageBreak/>
        <w:t>Especificación del modelo logístico</w:t>
      </w:r>
    </w:p>
    <w:p w14:paraId="2615CCF8" w14:textId="77777777" w:rsidR="007779C2" w:rsidRPr="007779C2" w:rsidRDefault="007779C2" w:rsidP="007779C2">
      <w:pPr>
        <w:spacing w:line="360" w:lineRule="auto"/>
        <w:jc w:val="both"/>
        <w:rPr>
          <w:rFonts w:ascii="Arial" w:hAnsi="Arial" w:cs="Arial"/>
        </w:rPr>
      </w:pPr>
      <w:r w:rsidRPr="007779C2">
        <w:rPr>
          <w:rFonts w:ascii="Arial" w:hAnsi="Arial" w:cs="Arial"/>
        </w:rPr>
        <w:t>La fase final del proyecto consistió en la estimación de un modelo de regresión logística, donde la variable dependiente fue definida como dicotómica: alta productividad (1) cuando el funcionario alcanzaba un puntaje igual o superior a 70 en la escala de productividad, y baja productividad (0) en caso contrario. La especificación quedó de la siguiente manera:</w:t>
      </w:r>
    </w:p>
    <w:p w14:paraId="3C9B087A" w14:textId="1710C58A" w:rsidR="007779C2" w:rsidRPr="007779C2" w:rsidRDefault="007779C2" w:rsidP="007779C2">
      <w:pPr>
        <w:spacing w:line="360" w:lineRule="auto"/>
        <w:jc w:val="both"/>
        <w:rPr>
          <w:rFonts w:ascii="Arial" w:hAnsi="Arial" w:cs="Arial"/>
        </w:rPr>
      </w:pPr>
      <w:proofErr w:type="spellStart"/>
      <w:r w:rsidRPr="007779C2">
        <w:rPr>
          <w:rFonts w:ascii="Arial" w:hAnsi="Arial" w:cs="Arial"/>
        </w:rPr>
        <w:t>logit</w:t>
      </w:r>
      <w:proofErr w:type="spellEnd"/>
      <w:r w:rsidRPr="007779C2">
        <w:rPr>
          <w:rFonts w:ascii="Arial" w:hAnsi="Arial" w:cs="Arial"/>
        </w:rPr>
        <w:t>(P(</w:t>
      </w:r>
      <w:proofErr w:type="spellStart"/>
      <w:r w:rsidRPr="007779C2">
        <w:rPr>
          <w:rFonts w:ascii="Arial" w:hAnsi="Arial" w:cs="Arial"/>
        </w:rPr>
        <w:t>AltaProd</w:t>
      </w:r>
      <w:proofErr w:type="spellEnd"/>
      <w:r w:rsidRPr="007779C2">
        <w:rPr>
          <w:rFonts w:ascii="Arial" w:hAnsi="Arial" w:cs="Arial"/>
        </w:rPr>
        <w:t>=1)) = β</w:t>
      </w:r>
      <w:r w:rsidRPr="007779C2">
        <w:rPr>
          <w:rFonts w:ascii="Cambria Math" w:hAnsi="Cambria Math" w:cs="Cambria Math"/>
        </w:rPr>
        <w:t>₀</w:t>
      </w:r>
      <w:r w:rsidRPr="007779C2">
        <w:rPr>
          <w:rFonts w:ascii="Arial" w:hAnsi="Arial" w:cs="Arial"/>
        </w:rPr>
        <w:t xml:space="preserve"> + β</w:t>
      </w:r>
      <w:r w:rsidRPr="007779C2">
        <w:rPr>
          <w:rFonts w:ascii="Cambria Math" w:hAnsi="Cambria Math" w:cs="Cambria Math"/>
        </w:rPr>
        <w:t>₁</w:t>
      </w:r>
      <w:r w:rsidRPr="007779C2">
        <w:rPr>
          <w:rFonts w:ascii="Arial" w:hAnsi="Arial" w:cs="Arial"/>
        </w:rPr>
        <w:t>(</w:t>
      </w:r>
      <w:proofErr w:type="spellStart"/>
      <w:r w:rsidRPr="007779C2">
        <w:rPr>
          <w:rFonts w:ascii="Arial" w:hAnsi="Arial" w:cs="Arial"/>
        </w:rPr>
        <w:t>DíasTeletrabajo</w:t>
      </w:r>
      <w:proofErr w:type="spellEnd"/>
      <w:r w:rsidRPr="007779C2">
        <w:rPr>
          <w:rFonts w:ascii="Arial" w:hAnsi="Arial" w:cs="Arial"/>
        </w:rPr>
        <w:t>) + β</w:t>
      </w:r>
      <w:r w:rsidRPr="007779C2">
        <w:rPr>
          <w:rFonts w:ascii="Cambria Math" w:hAnsi="Cambria Math" w:cs="Cambria Math"/>
        </w:rPr>
        <w:t>₂</w:t>
      </w:r>
      <w:r w:rsidRPr="007779C2">
        <w:rPr>
          <w:rFonts w:ascii="Arial" w:hAnsi="Arial" w:cs="Arial"/>
        </w:rPr>
        <w:t>(Educación) + β</w:t>
      </w:r>
      <w:r w:rsidRPr="007779C2">
        <w:rPr>
          <w:rFonts w:ascii="Cambria Math" w:hAnsi="Cambria Math" w:cs="Cambria Math"/>
        </w:rPr>
        <w:t>₃</w:t>
      </w:r>
      <w:r w:rsidRPr="007779C2">
        <w:rPr>
          <w:rFonts w:ascii="Arial" w:hAnsi="Arial" w:cs="Arial"/>
        </w:rPr>
        <w:t>(Edad) + β</w:t>
      </w:r>
      <w:r w:rsidRPr="007779C2">
        <w:rPr>
          <w:rFonts w:ascii="Cambria Math" w:hAnsi="Cambria Math" w:cs="Cambria Math"/>
        </w:rPr>
        <w:t>₄</w:t>
      </w:r>
      <w:r w:rsidRPr="007779C2">
        <w:rPr>
          <w:rFonts w:ascii="Arial" w:hAnsi="Arial" w:cs="Arial"/>
        </w:rPr>
        <w:t>(Género) + β</w:t>
      </w:r>
      <w:proofErr w:type="gramStart"/>
      <w:r w:rsidRPr="007779C2">
        <w:rPr>
          <w:rFonts w:ascii="Cambria Math" w:hAnsi="Cambria Math" w:cs="Cambria Math"/>
        </w:rPr>
        <w:t>₅</w:t>
      </w:r>
      <w:r w:rsidRPr="007779C2">
        <w:rPr>
          <w:rFonts w:ascii="Arial" w:hAnsi="Arial" w:cs="Arial"/>
        </w:rPr>
        <w:t>(</w:t>
      </w:r>
      <w:proofErr w:type="spellStart"/>
      <w:proofErr w:type="gramEnd"/>
      <w:r w:rsidRPr="007779C2">
        <w:rPr>
          <w:rFonts w:ascii="Arial" w:hAnsi="Arial" w:cs="Arial"/>
        </w:rPr>
        <w:t>DíasTeletrabajo</w:t>
      </w:r>
      <w:proofErr w:type="spellEnd"/>
      <w:r w:rsidRPr="007779C2">
        <w:rPr>
          <w:rFonts w:ascii="Arial" w:hAnsi="Arial" w:cs="Arial"/>
        </w:rPr>
        <w:t xml:space="preserve"> × Educación) + ε</w:t>
      </w:r>
    </w:p>
    <w:p w14:paraId="189B8720" w14:textId="46857596" w:rsidR="007779C2" w:rsidRPr="007779C2" w:rsidRDefault="007779C2" w:rsidP="007779C2">
      <w:pPr>
        <w:spacing w:line="360" w:lineRule="auto"/>
        <w:jc w:val="both"/>
        <w:rPr>
          <w:rFonts w:ascii="Arial" w:hAnsi="Arial" w:cs="Arial"/>
        </w:rPr>
      </w:pPr>
      <w:r w:rsidRPr="007779C2">
        <w:rPr>
          <w:rFonts w:ascii="Arial" w:hAnsi="Arial" w:cs="Arial"/>
        </w:rPr>
        <w:t>La selección de variables respondió a los siguientes criterios:</w:t>
      </w:r>
    </w:p>
    <w:p w14:paraId="219B86F5" w14:textId="77777777" w:rsidR="007779C2" w:rsidRPr="007779C2" w:rsidRDefault="007779C2" w:rsidP="007779C2">
      <w:pPr>
        <w:numPr>
          <w:ilvl w:val="0"/>
          <w:numId w:val="27"/>
        </w:numPr>
        <w:spacing w:line="360" w:lineRule="auto"/>
        <w:jc w:val="both"/>
        <w:rPr>
          <w:rFonts w:ascii="Arial" w:hAnsi="Arial" w:cs="Arial"/>
        </w:rPr>
      </w:pPr>
      <w:r w:rsidRPr="007779C2">
        <w:rPr>
          <w:rFonts w:ascii="Arial" w:hAnsi="Arial" w:cs="Arial"/>
        </w:rPr>
        <w:t>Teórico: se incluyeron factores validados en la literatura (educación, edad, género) y la interacción entre teletrabajo y educación, dado que la evidencia sugiere que el impacto del teletrabajo no es homogéneo en distintos grupos.</w:t>
      </w:r>
    </w:p>
    <w:p w14:paraId="66951E8C" w14:textId="77777777" w:rsidR="007779C2" w:rsidRPr="007779C2" w:rsidRDefault="007779C2" w:rsidP="007779C2">
      <w:pPr>
        <w:numPr>
          <w:ilvl w:val="0"/>
          <w:numId w:val="27"/>
        </w:numPr>
        <w:spacing w:line="360" w:lineRule="auto"/>
        <w:jc w:val="both"/>
        <w:rPr>
          <w:rFonts w:ascii="Arial" w:hAnsi="Arial" w:cs="Arial"/>
        </w:rPr>
      </w:pPr>
      <w:r w:rsidRPr="007779C2">
        <w:rPr>
          <w:rFonts w:ascii="Arial" w:hAnsi="Arial" w:cs="Arial"/>
        </w:rPr>
        <w:t>Empírico: se contrastaron modelos alternativos mediante criterios de información (AIC, BIC) y capacidad predictiva, optando por la especificación con mayor equilibrio entre ajuste y parsimonia.</w:t>
      </w:r>
    </w:p>
    <w:p w14:paraId="01C1CDE2" w14:textId="77777777" w:rsidR="007779C2" w:rsidRPr="007779C2" w:rsidRDefault="007779C2" w:rsidP="007779C2">
      <w:pPr>
        <w:spacing w:line="360" w:lineRule="auto"/>
        <w:jc w:val="both"/>
        <w:rPr>
          <w:rFonts w:ascii="Arial" w:hAnsi="Arial" w:cs="Arial"/>
          <w:b/>
          <w:bCs/>
        </w:rPr>
      </w:pPr>
      <w:r w:rsidRPr="007779C2">
        <w:rPr>
          <w:rFonts w:ascii="Arial" w:hAnsi="Arial" w:cs="Arial"/>
          <w:b/>
          <w:bCs/>
        </w:rPr>
        <w:t>Construcción y documentación de los scripts en R</w:t>
      </w:r>
    </w:p>
    <w:p w14:paraId="03041599" w14:textId="4E63B930" w:rsidR="007779C2" w:rsidRPr="007779C2" w:rsidRDefault="007779C2" w:rsidP="007779C2">
      <w:pPr>
        <w:spacing w:line="360" w:lineRule="auto"/>
        <w:jc w:val="both"/>
        <w:rPr>
          <w:rFonts w:ascii="Arial" w:hAnsi="Arial" w:cs="Arial"/>
        </w:rPr>
      </w:pPr>
      <w:r w:rsidRPr="007779C2">
        <w:rPr>
          <w:rFonts w:ascii="Arial" w:hAnsi="Arial" w:cs="Arial"/>
        </w:rPr>
        <w:t xml:space="preserve">El análisis fue implementado en R Studio, utilizando las librerías </w:t>
      </w:r>
      <w:proofErr w:type="spellStart"/>
      <w:r w:rsidRPr="007779C2">
        <w:rPr>
          <w:rFonts w:ascii="Arial" w:hAnsi="Arial" w:cs="Arial"/>
        </w:rPr>
        <w:t>tidyverse</w:t>
      </w:r>
      <w:proofErr w:type="spellEnd"/>
      <w:r w:rsidRPr="007779C2">
        <w:rPr>
          <w:rFonts w:ascii="Arial" w:hAnsi="Arial" w:cs="Arial"/>
        </w:rPr>
        <w:t xml:space="preserve">, car y </w:t>
      </w:r>
      <w:proofErr w:type="spellStart"/>
      <w:r w:rsidRPr="007779C2">
        <w:rPr>
          <w:rFonts w:ascii="Arial" w:hAnsi="Arial" w:cs="Arial"/>
        </w:rPr>
        <w:t>stats</w:t>
      </w:r>
      <w:proofErr w:type="spellEnd"/>
      <w:r w:rsidRPr="007779C2">
        <w:rPr>
          <w:rFonts w:ascii="Arial" w:hAnsi="Arial" w:cs="Arial"/>
        </w:rPr>
        <w:t>. Los scripts fueron documentados paso a paso, incluyendo:</w:t>
      </w:r>
    </w:p>
    <w:p w14:paraId="4EBD2E6E" w14:textId="77777777" w:rsidR="007779C2" w:rsidRPr="007779C2" w:rsidRDefault="007779C2" w:rsidP="007779C2">
      <w:pPr>
        <w:numPr>
          <w:ilvl w:val="0"/>
          <w:numId w:val="28"/>
        </w:numPr>
        <w:spacing w:line="360" w:lineRule="auto"/>
        <w:jc w:val="both"/>
        <w:rPr>
          <w:rFonts w:ascii="Arial" w:hAnsi="Arial" w:cs="Arial"/>
        </w:rPr>
      </w:pPr>
      <w:r w:rsidRPr="007779C2">
        <w:rPr>
          <w:rFonts w:ascii="Arial" w:hAnsi="Arial" w:cs="Arial"/>
        </w:rPr>
        <w:t>Carga y exploración de datos: inspección de estructura, distribución de variables y estadísticos descriptivos.</w:t>
      </w:r>
    </w:p>
    <w:p w14:paraId="4AAB0401" w14:textId="77777777" w:rsidR="007779C2" w:rsidRPr="007779C2" w:rsidRDefault="007779C2" w:rsidP="007779C2">
      <w:pPr>
        <w:numPr>
          <w:ilvl w:val="0"/>
          <w:numId w:val="28"/>
        </w:numPr>
        <w:spacing w:line="360" w:lineRule="auto"/>
        <w:jc w:val="both"/>
        <w:rPr>
          <w:rFonts w:ascii="Arial" w:hAnsi="Arial" w:cs="Arial"/>
        </w:rPr>
      </w:pPr>
      <w:r w:rsidRPr="007779C2">
        <w:rPr>
          <w:rFonts w:ascii="Arial" w:hAnsi="Arial" w:cs="Arial"/>
        </w:rPr>
        <w:t xml:space="preserve">Ajuste del modelo logístico: uso de la función </w:t>
      </w:r>
      <w:proofErr w:type="spellStart"/>
      <w:proofErr w:type="gramStart"/>
      <w:r w:rsidRPr="007779C2">
        <w:rPr>
          <w:rFonts w:ascii="Arial" w:hAnsi="Arial" w:cs="Arial"/>
        </w:rPr>
        <w:t>glm</w:t>
      </w:r>
      <w:proofErr w:type="spellEnd"/>
      <w:r w:rsidRPr="007779C2">
        <w:rPr>
          <w:rFonts w:ascii="Arial" w:hAnsi="Arial" w:cs="Arial"/>
        </w:rPr>
        <w:t>(</w:t>
      </w:r>
      <w:proofErr w:type="gramEnd"/>
      <w:r w:rsidRPr="007779C2">
        <w:rPr>
          <w:rFonts w:ascii="Arial" w:hAnsi="Arial" w:cs="Arial"/>
        </w:rPr>
        <w:t>) con familia binomial (</w:t>
      </w:r>
      <w:proofErr w:type="gramStart"/>
      <w:r w:rsidRPr="007779C2">
        <w:rPr>
          <w:rFonts w:ascii="Arial" w:hAnsi="Arial" w:cs="Arial"/>
        </w:rPr>
        <w:t>link</w:t>
      </w:r>
      <w:proofErr w:type="gramEnd"/>
      <w:r w:rsidRPr="007779C2">
        <w:rPr>
          <w:rFonts w:ascii="Arial" w:hAnsi="Arial" w:cs="Arial"/>
        </w:rPr>
        <w:t xml:space="preserve"> = "</w:t>
      </w:r>
      <w:proofErr w:type="spellStart"/>
      <w:r w:rsidRPr="007779C2">
        <w:rPr>
          <w:rFonts w:ascii="Arial" w:hAnsi="Arial" w:cs="Arial"/>
        </w:rPr>
        <w:t>logit</w:t>
      </w:r>
      <w:proofErr w:type="spellEnd"/>
      <w:r w:rsidRPr="007779C2">
        <w:rPr>
          <w:rFonts w:ascii="Arial" w:hAnsi="Arial" w:cs="Arial"/>
        </w:rPr>
        <w:t>").</w:t>
      </w:r>
    </w:p>
    <w:p w14:paraId="1DC56897" w14:textId="77777777" w:rsidR="007779C2" w:rsidRPr="007779C2" w:rsidRDefault="007779C2" w:rsidP="007779C2">
      <w:pPr>
        <w:numPr>
          <w:ilvl w:val="0"/>
          <w:numId w:val="28"/>
        </w:numPr>
        <w:spacing w:line="360" w:lineRule="auto"/>
        <w:jc w:val="both"/>
        <w:rPr>
          <w:rFonts w:ascii="Arial" w:hAnsi="Arial" w:cs="Arial"/>
        </w:rPr>
      </w:pPr>
      <w:r w:rsidRPr="007779C2">
        <w:rPr>
          <w:rFonts w:ascii="Arial" w:hAnsi="Arial" w:cs="Arial"/>
        </w:rPr>
        <w:t>Evaluación de significancia: revisión de coeficientes, errores estándar y valores p.</w:t>
      </w:r>
    </w:p>
    <w:p w14:paraId="394A349C" w14:textId="77777777" w:rsidR="007779C2" w:rsidRPr="007779C2" w:rsidRDefault="007779C2" w:rsidP="007779C2">
      <w:pPr>
        <w:numPr>
          <w:ilvl w:val="0"/>
          <w:numId w:val="28"/>
        </w:numPr>
        <w:spacing w:line="360" w:lineRule="auto"/>
        <w:jc w:val="both"/>
        <w:rPr>
          <w:rFonts w:ascii="Arial" w:hAnsi="Arial" w:cs="Arial"/>
        </w:rPr>
      </w:pPr>
      <w:r w:rsidRPr="007779C2">
        <w:rPr>
          <w:rFonts w:ascii="Arial" w:hAnsi="Arial" w:cs="Arial"/>
        </w:rPr>
        <w:t>Medidas de ajuste: cálculo de AIC y BIC, así como matriz de confusión y tasa de clasificación correcta.</w:t>
      </w:r>
    </w:p>
    <w:p w14:paraId="6ED110A6" w14:textId="77777777" w:rsidR="007779C2" w:rsidRPr="007779C2" w:rsidRDefault="007779C2" w:rsidP="007779C2">
      <w:pPr>
        <w:numPr>
          <w:ilvl w:val="0"/>
          <w:numId w:val="28"/>
        </w:numPr>
        <w:spacing w:line="360" w:lineRule="auto"/>
        <w:jc w:val="both"/>
        <w:rPr>
          <w:rFonts w:ascii="Arial" w:hAnsi="Arial" w:cs="Arial"/>
        </w:rPr>
      </w:pPr>
      <w:r w:rsidRPr="007779C2">
        <w:rPr>
          <w:rFonts w:ascii="Arial" w:hAnsi="Arial" w:cs="Arial"/>
        </w:rPr>
        <w:lastRenderedPageBreak/>
        <w:t>Visualización: gráficos de probabilidades predichas en función de días de teletrabajo y nivel educativo.</w:t>
      </w:r>
    </w:p>
    <w:p w14:paraId="23A1D355" w14:textId="30EEB37E" w:rsidR="007B0B67" w:rsidRDefault="007B0B67" w:rsidP="007B0B67">
      <w:pPr>
        <w:spacing w:line="360" w:lineRule="auto"/>
        <w:jc w:val="both"/>
        <w:rPr>
          <w:rFonts w:ascii="Arial" w:hAnsi="Arial" w:cs="Arial"/>
        </w:rPr>
      </w:pPr>
    </w:p>
    <w:p w14:paraId="0F43B01A" w14:textId="77777777" w:rsidR="00A71D23" w:rsidRPr="00A71D23" w:rsidRDefault="00A71D23" w:rsidP="00A71D23">
      <w:pPr>
        <w:spacing w:line="360" w:lineRule="auto"/>
        <w:jc w:val="both"/>
        <w:rPr>
          <w:rFonts w:ascii="Arial" w:hAnsi="Arial" w:cs="Arial"/>
          <w:b/>
          <w:bCs/>
        </w:rPr>
      </w:pPr>
      <w:r w:rsidRPr="00A71D23">
        <w:rPr>
          <w:rFonts w:ascii="Arial" w:hAnsi="Arial" w:cs="Arial"/>
          <w:b/>
          <w:bCs/>
        </w:rPr>
        <w:t>Aprendizajes aplicados desde el MCO</w:t>
      </w:r>
    </w:p>
    <w:p w14:paraId="32C782EE" w14:textId="12474F05" w:rsidR="00A71D23" w:rsidRPr="00A71D23" w:rsidRDefault="00A71D23" w:rsidP="00A71D23">
      <w:pPr>
        <w:spacing w:line="360" w:lineRule="auto"/>
        <w:jc w:val="both"/>
        <w:rPr>
          <w:rFonts w:ascii="Arial" w:hAnsi="Arial" w:cs="Arial"/>
        </w:rPr>
      </w:pPr>
      <w:r w:rsidRPr="00A71D23">
        <w:rPr>
          <w:rFonts w:ascii="Arial" w:hAnsi="Arial" w:cs="Arial"/>
        </w:rPr>
        <w:t xml:space="preserve">La experiencia previa con el modelo MCO permitió </w:t>
      </w:r>
      <w:r>
        <w:rPr>
          <w:rFonts w:ascii="Arial" w:hAnsi="Arial" w:cs="Arial"/>
        </w:rPr>
        <w:t>comprender</w:t>
      </w:r>
      <w:r w:rsidRPr="00A71D23">
        <w:rPr>
          <w:rFonts w:ascii="Arial" w:hAnsi="Arial" w:cs="Arial"/>
        </w:rPr>
        <w:t xml:space="preserve"> aprendizajes clave:</w:t>
      </w:r>
    </w:p>
    <w:p w14:paraId="2AF6A1C1" w14:textId="77777777" w:rsidR="00A71D23" w:rsidRPr="00A71D23" w:rsidRDefault="00A71D23" w:rsidP="00A71D23">
      <w:pPr>
        <w:numPr>
          <w:ilvl w:val="0"/>
          <w:numId w:val="29"/>
        </w:numPr>
        <w:spacing w:line="360" w:lineRule="auto"/>
        <w:jc w:val="both"/>
        <w:rPr>
          <w:rFonts w:ascii="Arial" w:hAnsi="Arial" w:cs="Arial"/>
        </w:rPr>
      </w:pPr>
      <w:r w:rsidRPr="00A71D23">
        <w:rPr>
          <w:rFonts w:ascii="Arial" w:hAnsi="Arial" w:cs="Arial"/>
        </w:rPr>
        <w:t>Importancia de los controles: al igual que en MCO, se mantuvo la inclusión de edad, género y educación para reducir sesgos.</w:t>
      </w:r>
    </w:p>
    <w:p w14:paraId="52A832EB" w14:textId="77777777" w:rsidR="00A71D23" w:rsidRPr="00A71D23" w:rsidRDefault="00A71D23" w:rsidP="00A71D23">
      <w:pPr>
        <w:numPr>
          <w:ilvl w:val="0"/>
          <w:numId w:val="29"/>
        </w:numPr>
        <w:spacing w:line="360" w:lineRule="auto"/>
        <w:jc w:val="both"/>
        <w:rPr>
          <w:rFonts w:ascii="Arial" w:hAnsi="Arial" w:cs="Arial"/>
        </w:rPr>
      </w:pPr>
      <w:r w:rsidRPr="00A71D23">
        <w:rPr>
          <w:rFonts w:ascii="Arial" w:hAnsi="Arial" w:cs="Arial"/>
        </w:rPr>
        <w:t xml:space="preserve">Interacciones: la exploración inicial sugirió heterogeneidad según educación, lo que motivó incluir un término de interacción también en el modelo </w:t>
      </w:r>
      <w:proofErr w:type="spellStart"/>
      <w:r w:rsidRPr="00A71D23">
        <w:rPr>
          <w:rFonts w:ascii="Arial" w:hAnsi="Arial" w:cs="Arial"/>
        </w:rPr>
        <w:t>Logit</w:t>
      </w:r>
      <w:proofErr w:type="spellEnd"/>
      <w:r w:rsidRPr="00A71D23">
        <w:rPr>
          <w:rFonts w:ascii="Arial" w:hAnsi="Arial" w:cs="Arial"/>
        </w:rPr>
        <w:t>.</w:t>
      </w:r>
    </w:p>
    <w:p w14:paraId="19B637FE" w14:textId="77777777" w:rsidR="00A71D23" w:rsidRPr="00A71D23" w:rsidRDefault="00A71D23" w:rsidP="00A71D23">
      <w:pPr>
        <w:numPr>
          <w:ilvl w:val="0"/>
          <w:numId w:val="29"/>
        </w:numPr>
        <w:spacing w:line="360" w:lineRule="auto"/>
        <w:jc w:val="both"/>
        <w:rPr>
          <w:rFonts w:ascii="Arial" w:hAnsi="Arial" w:cs="Arial"/>
        </w:rPr>
      </w:pPr>
      <w:r w:rsidRPr="00A71D23">
        <w:rPr>
          <w:rFonts w:ascii="Arial" w:hAnsi="Arial" w:cs="Arial"/>
        </w:rPr>
        <w:t>Diagnóstico de supuestos: se replicó la lógica de verificación de linealidad y varianza, aunque adaptada al contexto no lineal de la regresión logística.</w:t>
      </w:r>
    </w:p>
    <w:p w14:paraId="7E8EBDD9" w14:textId="77777777" w:rsidR="00A71D23" w:rsidRPr="00A71D23" w:rsidRDefault="00A71D23" w:rsidP="00A71D23">
      <w:pPr>
        <w:spacing w:line="360" w:lineRule="auto"/>
        <w:jc w:val="both"/>
        <w:rPr>
          <w:rFonts w:ascii="Arial" w:hAnsi="Arial" w:cs="Arial"/>
          <w:b/>
          <w:bCs/>
        </w:rPr>
      </w:pPr>
      <w:r w:rsidRPr="00A71D23">
        <w:rPr>
          <w:rFonts w:ascii="Arial" w:hAnsi="Arial" w:cs="Arial"/>
          <w:b/>
          <w:bCs/>
        </w:rPr>
        <w:t>Diferencias observadas entre MCO y máxima verosimilitud</w:t>
      </w:r>
    </w:p>
    <w:p w14:paraId="45161EF9" w14:textId="77777777" w:rsidR="00A71D23" w:rsidRPr="00A71D23" w:rsidRDefault="00A71D23" w:rsidP="00A71D23">
      <w:pPr>
        <w:numPr>
          <w:ilvl w:val="0"/>
          <w:numId w:val="30"/>
        </w:numPr>
        <w:spacing w:line="360" w:lineRule="auto"/>
        <w:jc w:val="both"/>
        <w:rPr>
          <w:rFonts w:ascii="Arial" w:hAnsi="Arial" w:cs="Arial"/>
        </w:rPr>
      </w:pPr>
      <w:r w:rsidRPr="00A71D23">
        <w:rPr>
          <w:rFonts w:ascii="Arial" w:hAnsi="Arial" w:cs="Arial"/>
        </w:rPr>
        <w:t>El MCO estima parámetros minimizando los errores cuadrados, lo que resulta intuitivo pero menos adecuado para variables binarias.</w:t>
      </w:r>
    </w:p>
    <w:p w14:paraId="7CAF1B15" w14:textId="77777777" w:rsidR="00A71D23" w:rsidRPr="00A71D23" w:rsidRDefault="00A71D23" w:rsidP="00A71D23">
      <w:pPr>
        <w:numPr>
          <w:ilvl w:val="0"/>
          <w:numId w:val="30"/>
        </w:numPr>
        <w:spacing w:line="360" w:lineRule="auto"/>
        <w:jc w:val="both"/>
        <w:rPr>
          <w:rFonts w:ascii="Arial" w:hAnsi="Arial" w:cs="Arial"/>
        </w:rPr>
      </w:pPr>
      <w:r w:rsidRPr="00A71D23">
        <w:rPr>
          <w:rFonts w:ascii="Arial" w:hAnsi="Arial" w:cs="Arial"/>
        </w:rPr>
        <w:t xml:space="preserve">En cambio, la máxima verosimilitud, utilizada en el </w:t>
      </w:r>
      <w:proofErr w:type="spellStart"/>
      <w:r w:rsidRPr="00A71D23">
        <w:rPr>
          <w:rFonts w:ascii="Arial" w:hAnsi="Arial" w:cs="Arial"/>
        </w:rPr>
        <w:t>Logit</w:t>
      </w:r>
      <w:proofErr w:type="spellEnd"/>
      <w:r w:rsidRPr="00A71D23">
        <w:rPr>
          <w:rFonts w:ascii="Arial" w:hAnsi="Arial" w:cs="Arial"/>
        </w:rPr>
        <w:t>, busca los parámetros que maximizan la probabilidad de observar los datos tal como se presentan. Esto otorga un mejor ajuste cuando el objetivo es modelar probabilidades y no valores continuos.</w:t>
      </w:r>
    </w:p>
    <w:p w14:paraId="64AEF2A8" w14:textId="77777777" w:rsidR="00A71D23" w:rsidRPr="00A71D23" w:rsidRDefault="00A71D23" w:rsidP="00A71D23">
      <w:pPr>
        <w:numPr>
          <w:ilvl w:val="0"/>
          <w:numId w:val="30"/>
        </w:numPr>
        <w:spacing w:line="360" w:lineRule="auto"/>
        <w:jc w:val="both"/>
        <w:rPr>
          <w:rFonts w:ascii="Arial" w:hAnsi="Arial" w:cs="Arial"/>
        </w:rPr>
      </w:pPr>
      <w:r w:rsidRPr="00A71D23">
        <w:rPr>
          <w:rFonts w:ascii="Arial" w:hAnsi="Arial" w:cs="Arial"/>
        </w:rPr>
        <w:t xml:space="preserve">En términos prácticos, el </w:t>
      </w:r>
      <w:proofErr w:type="spellStart"/>
      <w:r w:rsidRPr="00A71D23">
        <w:rPr>
          <w:rFonts w:ascii="Arial" w:hAnsi="Arial" w:cs="Arial"/>
        </w:rPr>
        <w:t>Logit</w:t>
      </w:r>
      <w:proofErr w:type="spellEnd"/>
      <w:r w:rsidRPr="00A71D23">
        <w:rPr>
          <w:rFonts w:ascii="Arial" w:hAnsi="Arial" w:cs="Arial"/>
        </w:rPr>
        <w:t xml:space="preserve"> entregó medidas de ajuste más robustas (AIC, BIC menores) y una mejor capacidad de clasificación frente al MCO, aunque con la dificultad añadida de interpretar coeficientes en log-</w:t>
      </w:r>
      <w:proofErr w:type="spellStart"/>
      <w:r w:rsidRPr="00A71D23">
        <w:rPr>
          <w:rFonts w:ascii="Arial" w:hAnsi="Arial" w:cs="Arial"/>
        </w:rPr>
        <w:t>odds</w:t>
      </w:r>
      <w:proofErr w:type="spellEnd"/>
      <w:r w:rsidRPr="00A71D23">
        <w:rPr>
          <w:rFonts w:ascii="Arial" w:hAnsi="Arial" w:cs="Arial"/>
        </w:rPr>
        <w:t>.</w:t>
      </w:r>
    </w:p>
    <w:p w14:paraId="26A004F4" w14:textId="77777777" w:rsidR="00A71D23" w:rsidRPr="00A71D23" w:rsidRDefault="00A71D23" w:rsidP="00A71D23">
      <w:pPr>
        <w:spacing w:line="360" w:lineRule="auto"/>
        <w:jc w:val="both"/>
        <w:rPr>
          <w:rFonts w:ascii="Arial" w:hAnsi="Arial" w:cs="Arial"/>
          <w:b/>
          <w:bCs/>
        </w:rPr>
      </w:pPr>
      <w:r w:rsidRPr="00A71D23">
        <w:rPr>
          <w:rFonts w:ascii="Arial" w:hAnsi="Arial" w:cs="Arial"/>
          <w:b/>
          <w:bCs/>
        </w:rPr>
        <w:t>Presentación de los datos utilizados</w:t>
      </w:r>
    </w:p>
    <w:p w14:paraId="63EACA06" w14:textId="77777777" w:rsidR="00A71D23" w:rsidRPr="00A71D23" w:rsidRDefault="00A71D23" w:rsidP="00A71D23">
      <w:pPr>
        <w:numPr>
          <w:ilvl w:val="0"/>
          <w:numId w:val="31"/>
        </w:numPr>
        <w:spacing w:line="360" w:lineRule="auto"/>
        <w:jc w:val="both"/>
        <w:rPr>
          <w:rFonts w:ascii="Arial" w:hAnsi="Arial" w:cs="Arial"/>
        </w:rPr>
      </w:pPr>
      <w:r w:rsidRPr="00A71D23">
        <w:rPr>
          <w:rFonts w:ascii="Arial" w:hAnsi="Arial" w:cs="Arial"/>
        </w:rPr>
        <w:t>Fuente: base de datos simulada construida a partir de encuestas autoadministradas y registros administrativos publicados por la Subsecretaría del Trabajo.</w:t>
      </w:r>
    </w:p>
    <w:p w14:paraId="415529A9" w14:textId="77777777" w:rsidR="00A71D23" w:rsidRPr="00A71D23" w:rsidRDefault="00A71D23" w:rsidP="00A71D23">
      <w:pPr>
        <w:numPr>
          <w:ilvl w:val="0"/>
          <w:numId w:val="31"/>
        </w:numPr>
        <w:spacing w:line="360" w:lineRule="auto"/>
        <w:jc w:val="both"/>
        <w:rPr>
          <w:rFonts w:ascii="Arial" w:hAnsi="Arial" w:cs="Arial"/>
        </w:rPr>
      </w:pPr>
      <w:r w:rsidRPr="00A71D23">
        <w:rPr>
          <w:rFonts w:ascii="Arial" w:hAnsi="Arial" w:cs="Arial"/>
        </w:rPr>
        <w:t>Tamaño muestral: 200 funcionarios públicos.</w:t>
      </w:r>
    </w:p>
    <w:p w14:paraId="7B2C1E4B" w14:textId="77777777" w:rsidR="00A71D23" w:rsidRPr="00A71D23" w:rsidRDefault="00A71D23" w:rsidP="00A71D23">
      <w:pPr>
        <w:numPr>
          <w:ilvl w:val="0"/>
          <w:numId w:val="31"/>
        </w:numPr>
        <w:spacing w:line="360" w:lineRule="auto"/>
        <w:jc w:val="both"/>
        <w:rPr>
          <w:rFonts w:ascii="Arial" w:hAnsi="Arial" w:cs="Arial"/>
        </w:rPr>
      </w:pPr>
      <w:r w:rsidRPr="00A71D23">
        <w:rPr>
          <w:rFonts w:ascii="Arial" w:hAnsi="Arial" w:cs="Arial"/>
        </w:rPr>
        <w:lastRenderedPageBreak/>
        <w:t>Cobertura geográfica: Región Metropolitana, Valparaíso y Biobío.</w:t>
      </w:r>
    </w:p>
    <w:p w14:paraId="669324A5" w14:textId="77777777" w:rsidR="00A71D23" w:rsidRPr="00A71D23" w:rsidRDefault="00A71D23" w:rsidP="00A71D23">
      <w:pPr>
        <w:numPr>
          <w:ilvl w:val="0"/>
          <w:numId w:val="31"/>
        </w:numPr>
        <w:spacing w:line="360" w:lineRule="auto"/>
        <w:jc w:val="both"/>
        <w:rPr>
          <w:rFonts w:ascii="Arial" w:hAnsi="Arial" w:cs="Arial"/>
        </w:rPr>
      </w:pPr>
      <w:r w:rsidRPr="00A71D23">
        <w:rPr>
          <w:rFonts w:ascii="Arial" w:hAnsi="Arial" w:cs="Arial"/>
        </w:rPr>
        <w:t>Variables:</w:t>
      </w:r>
    </w:p>
    <w:p w14:paraId="35F1C275" w14:textId="77777777" w:rsidR="00A71D23" w:rsidRPr="00A71D23" w:rsidRDefault="00A71D23" w:rsidP="00A71D23">
      <w:pPr>
        <w:numPr>
          <w:ilvl w:val="1"/>
          <w:numId w:val="31"/>
        </w:numPr>
        <w:spacing w:line="360" w:lineRule="auto"/>
        <w:jc w:val="both"/>
        <w:rPr>
          <w:rFonts w:ascii="Arial" w:hAnsi="Arial" w:cs="Arial"/>
        </w:rPr>
      </w:pPr>
      <w:r w:rsidRPr="00A71D23">
        <w:rPr>
          <w:rFonts w:ascii="Arial" w:hAnsi="Arial" w:cs="Arial"/>
          <w:i/>
          <w:iCs/>
        </w:rPr>
        <w:t>Productividad</w:t>
      </w:r>
      <w:r w:rsidRPr="00A71D23">
        <w:rPr>
          <w:rFonts w:ascii="Arial" w:hAnsi="Arial" w:cs="Arial"/>
        </w:rPr>
        <w:t xml:space="preserve">: índice </w:t>
      </w:r>
      <w:proofErr w:type="spellStart"/>
      <w:r w:rsidRPr="00A71D23">
        <w:rPr>
          <w:rFonts w:ascii="Arial" w:hAnsi="Arial" w:cs="Arial"/>
        </w:rPr>
        <w:t>autoinformado</w:t>
      </w:r>
      <w:proofErr w:type="spellEnd"/>
      <w:r w:rsidRPr="00A71D23">
        <w:rPr>
          <w:rFonts w:ascii="Arial" w:hAnsi="Arial" w:cs="Arial"/>
        </w:rPr>
        <w:t xml:space="preserve"> (0–100).</w:t>
      </w:r>
    </w:p>
    <w:p w14:paraId="16BDC74A" w14:textId="77777777" w:rsidR="00A71D23" w:rsidRPr="00A71D23" w:rsidRDefault="00A71D23" w:rsidP="00A71D23">
      <w:pPr>
        <w:numPr>
          <w:ilvl w:val="1"/>
          <w:numId w:val="31"/>
        </w:numPr>
        <w:spacing w:line="360" w:lineRule="auto"/>
        <w:jc w:val="both"/>
        <w:rPr>
          <w:rFonts w:ascii="Arial" w:hAnsi="Arial" w:cs="Arial"/>
        </w:rPr>
      </w:pPr>
      <w:r w:rsidRPr="00A71D23">
        <w:rPr>
          <w:rFonts w:ascii="Arial" w:hAnsi="Arial" w:cs="Arial"/>
          <w:i/>
          <w:iCs/>
        </w:rPr>
        <w:t>Días de teletrabajo</w:t>
      </w:r>
      <w:r w:rsidRPr="00A71D23">
        <w:rPr>
          <w:rFonts w:ascii="Arial" w:hAnsi="Arial" w:cs="Arial"/>
        </w:rPr>
        <w:t>: número de días promedio por semana en modalidad remota.</w:t>
      </w:r>
    </w:p>
    <w:p w14:paraId="099331FC" w14:textId="77777777" w:rsidR="00A71D23" w:rsidRPr="00A71D23" w:rsidRDefault="00A71D23" w:rsidP="00A71D23">
      <w:pPr>
        <w:numPr>
          <w:ilvl w:val="1"/>
          <w:numId w:val="31"/>
        </w:numPr>
        <w:spacing w:line="360" w:lineRule="auto"/>
        <w:jc w:val="both"/>
        <w:rPr>
          <w:rFonts w:ascii="Arial" w:hAnsi="Arial" w:cs="Arial"/>
        </w:rPr>
      </w:pPr>
      <w:r w:rsidRPr="00A71D23">
        <w:rPr>
          <w:rFonts w:ascii="Arial" w:hAnsi="Arial" w:cs="Arial"/>
          <w:i/>
          <w:iCs/>
        </w:rPr>
        <w:t>Educación</w:t>
      </w:r>
      <w:r w:rsidRPr="00A71D23">
        <w:rPr>
          <w:rFonts w:ascii="Arial" w:hAnsi="Arial" w:cs="Arial"/>
        </w:rPr>
        <w:t>: nivel educativo (1 = media, 2 = técnica, 3 = universitaria).</w:t>
      </w:r>
    </w:p>
    <w:p w14:paraId="6EF14AB0" w14:textId="77777777" w:rsidR="00A71D23" w:rsidRPr="00A71D23" w:rsidRDefault="00A71D23" w:rsidP="00A71D23">
      <w:pPr>
        <w:numPr>
          <w:ilvl w:val="1"/>
          <w:numId w:val="31"/>
        </w:numPr>
        <w:spacing w:line="360" w:lineRule="auto"/>
        <w:jc w:val="both"/>
        <w:rPr>
          <w:rFonts w:ascii="Arial" w:hAnsi="Arial" w:cs="Arial"/>
        </w:rPr>
      </w:pPr>
      <w:r w:rsidRPr="00A71D23">
        <w:rPr>
          <w:rFonts w:ascii="Arial" w:hAnsi="Arial" w:cs="Arial"/>
          <w:i/>
          <w:iCs/>
        </w:rPr>
        <w:t>Edad</w:t>
      </w:r>
      <w:r w:rsidRPr="00A71D23">
        <w:rPr>
          <w:rFonts w:ascii="Arial" w:hAnsi="Arial" w:cs="Arial"/>
        </w:rPr>
        <w:t>: años.</w:t>
      </w:r>
    </w:p>
    <w:p w14:paraId="39CB4058" w14:textId="77777777" w:rsidR="00A71D23" w:rsidRPr="00A71D23" w:rsidRDefault="00A71D23" w:rsidP="00A71D23">
      <w:pPr>
        <w:numPr>
          <w:ilvl w:val="1"/>
          <w:numId w:val="31"/>
        </w:numPr>
        <w:spacing w:line="360" w:lineRule="auto"/>
        <w:jc w:val="both"/>
        <w:rPr>
          <w:rFonts w:ascii="Arial" w:hAnsi="Arial" w:cs="Arial"/>
        </w:rPr>
      </w:pPr>
      <w:r w:rsidRPr="00A71D23">
        <w:rPr>
          <w:rFonts w:ascii="Arial" w:hAnsi="Arial" w:cs="Arial"/>
          <w:i/>
          <w:iCs/>
        </w:rPr>
        <w:t>Género</w:t>
      </w:r>
      <w:r w:rsidRPr="00A71D23">
        <w:rPr>
          <w:rFonts w:ascii="Arial" w:hAnsi="Arial" w:cs="Arial"/>
        </w:rPr>
        <w:t>: 0 = hombre, 1 = mujer.</w:t>
      </w:r>
    </w:p>
    <w:p w14:paraId="457033EE" w14:textId="77777777" w:rsidR="00A71D23" w:rsidRPr="00A71D23" w:rsidRDefault="00A71D23" w:rsidP="00A71D23">
      <w:pPr>
        <w:spacing w:line="360" w:lineRule="auto"/>
        <w:jc w:val="both"/>
        <w:rPr>
          <w:rFonts w:ascii="Arial" w:hAnsi="Arial" w:cs="Arial"/>
          <w:b/>
          <w:bCs/>
        </w:rPr>
      </w:pPr>
      <w:r w:rsidRPr="00A71D23">
        <w:rPr>
          <w:rFonts w:ascii="Arial" w:hAnsi="Arial" w:cs="Arial"/>
          <w:b/>
          <w:bCs/>
        </w:rPr>
        <w:t>Fundamentos teóricos y analíticos de la regresión logística</w:t>
      </w:r>
    </w:p>
    <w:p w14:paraId="05D17897" w14:textId="54AF2CE3" w:rsidR="00A71D23" w:rsidRDefault="00A71D23" w:rsidP="00A71D23">
      <w:pPr>
        <w:spacing w:line="360" w:lineRule="auto"/>
        <w:jc w:val="both"/>
        <w:rPr>
          <w:rFonts w:ascii="Arial" w:hAnsi="Arial" w:cs="Arial"/>
        </w:rPr>
      </w:pPr>
      <w:r w:rsidRPr="00A71D23">
        <w:rPr>
          <w:rFonts w:ascii="Arial" w:hAnsi="Arial" w:cs="Arial"/>
        </w:rPr>
        <w:t xml:space="preserve">La regresión logística permite modelar la probabilidad de pertenecer a una categoría mediante la transformación </w:t>
      </w:r>
      <w:proofErr w:type="spellStart"/>
      <w:r w:rsidRPr="00A71D23">
        <w:rPr>
          <w:rFonts w:ascii="Arial" w:hAnsi="Arial" w:cs="Arial"/>
        </w:rPr>
        <w:t>logit</w:t>
      </w:r>
      <w:proofErr w:type="spellEnd"/>
      <w:r w:rsidRPr="00A71D23">
        <w:rPr>
          <w:rFonts w:ascii="Arial" w:hAnsi="Arial" w:cs="Arial"/>
        </w:rPr>
        <w:t>:</w:t>
      </w:r>
      <w:r>
        <w:rPr>
          <w:rFonts w:ascii="Arial" w:hAnsi="Arial" w:cs="Arial"/>
        </w:rPr>
        <w:t xml:space="preserve">   </w:t>
      </w:r>
      <w:proofErr w:type="spellStart"/>
      <w:r w:rsidRPr="00A71D23">
        <w:rPr>
          <w:rFonts w:ascii="Arial" w:hAnsi="Arial" w:cs="Arial"/>
        </w:rPr>
        <w:t>logit</w:t>
      </w:r>
      <w:proofErr w:type="spellEnd"/>
      <w:r w:rsidRPr="00A71D23">
        <w:rPr>
          <w:rFonts w:ascii="Arial" w:hAnsi="Arial" w:cs="Arial"/>
        </w:rPr>
        <w:t>(p)=</w:t>
      </w:r>
      <w:proofErr w:type="spellStart"/>
      <w:r w:rsidRPr="00A71D23">
        <w:rPr>
          <w:rFonts w:ascii="Arial" w:hAnsi="Arial" w:cs="Arial"/>
        </w:rPr>
        <w:t>ln</w:t>
      </w:r>
      <w:proofErr w:type="spellEnd"/>
      <w:r w:rsidRPr="00A71D23">
        <w:rPr>
          <w:rFonts w:ascii="Arial" w:hAnsi="Arial" w:cs="Arial"/>
        </w:rPr>
        <w:t>(</w:t>
      </w:r>
      <w:r>
        <w:rPr>
          <w:rFonts w:ascii="Arial" w:hAnsi="Arial" w:cs="Arial"/>
        </w:rPr>
        <w:t>p/</w:t>
      </w:r>
      <w:r w:rsidRPr="00A71D23">
        <w:rPr>
          <w:rFonts w:ascii="Arial" w:hAnsi="Arial" w:cs="Arial"/>
        </w:rPr>
        <w:t>1−pp​)</w:t>
      </w:r>
    </w:p>
    <w:p w14:paraId="3199E983" w14:textId="719ED666" w:rsidR="00A71D23" w:rsidRPr="00A71D23" w:rsidRDefault="00A71D23" w:rsidP="00A71D23">
      <w:pPr>
        <w:spacing w:line="360" w:lineRule="auto"/>
        <w:jc w:val="both"/>
        <w:rPr>
          <w:rFonts w:ascii="Arial" w:hAnsi="Arial" w:cs="Arial"/>
        </w:rPr>
      </w:pPr>
      <w:r w:rsidRPr="00A71D23">
        <w:rPr>
          <w:rFonts w:ascii="Arial" w:hAnsi="Arial" w:cs="Arial"/>
        </w:rPr>
        <w:t>Esta transformación garantiza que los valores predichos estén dentro del rango 0–1. Los coeficientes del modelo expresan cambios en los log-</w:t>
      </w:r>
      <w:proofErr w:type="spellStart"/>
      <w:r w:rsidRPr="00A71D23">
        <w:rPr>
          <w:rFonts w:ascii="Arial" w:hAnsi="Arial" w:cs="Arial"/>
        </w:rPr>
        <w:t>odds</w:t>
      </w:r>
      <w:proofErr w:type="spellEnd"/>
      <w:r w:rsidRPr="00A71D23">
        <w:rPr>
          <w:rFonts w:ascii="Arial" w:hAnsi="Arial" w:cs="Arial"/>
        </w:rPr>
        <w:t xml:space="preserve">, los que, al ser transformados en </w:t>
      </w:r>
      <w:proofErr w:type="spellStart"/>
      <w:r w:rsidRPr="00A71D23">
        <w:rPr>
          <w:rFonts w:ascii="Arial" w:hAnsi="Arial" w:cs="Arial"/>
        </w:rPr>
        <w:t>odds</w:t>
      </w:r>
      <w:proofErr w:type="spellEnd"/>
      <w:r w:rsidRPr="00A71D23">
        <w:rPr>
          <w:rFonts w:ascii="Arial" w:hAnsi="Arial" w:cs="Arial"/>
        </w:rPr>
        <w:t xml:space="preserve"> ratios, facilitan la interpretación en términos de probabilidades relativas.</w:t>
      </w:r>
    </w:p>
    <w:p w14:paraId="78A011D1" w14:textId="77777777" w:rsidR="00A71D23" w:rsidRPr="00A71D23" w:rsidRDefault="00A71D23" w:rsidP="00A71D23">
      <w:pPr>
        <w:spacing w:line="360" w:lineRule="auto"/>
        <w:jc w:val="both"/>
        <w:rPr>
          <w:rFonts w:ascii="Arial" w:hAnsi="Arial" w:cs="Arial"/>
        </w:rPr>
      </w:pPr>
      <w:r w:rsidRPr="00A71D23">
        <w:rPr>
          <w:rFonts w:ascii="Arial" w:hAnsi="Arial" w:cs="Arial"/>
        </w:rPr>
        <w:t xml:space="preserve">En este proyecto, el modelo </w:t>
      </w:r>
      <w:proofErr w:type="spellStart"/>
      <w:r w:rsidRPr="00A71D23">
        <w:rPr>
          <w:rFonts w:ascii="Arial" w:hAnsi="Arial" w:cs="Arial"/>
        </w:rPr>
        <w:t>Logit</w:t>
      </w:r>
      <w:proofErr w:type="spellEnd"/>
      <w:r w:rsidRPr="00A71D23">
        <w:rPr>
          <w:rFonts w:ascii="Arial" w:hAnsi="Arial" w:cs="Arial"/>
        </w:rPr>
        <w:t xml:space="preserve"> entregó una tasa de clasificación correcta del 75%, confirmando la validez de la hipótesis H1 y ofreciendo evidencia parcial a favor de H2, dado que el efecto del teletrabajo fue más fuerte entre funcionarios con educación universitaria.</w:t>
      </w:r>
    </w:p>
    <w:p w14:paraId="77639FF5" w14:textId="77777777" w:rsidR="00AD7034" w:rsidRDefault="00AD7034" w:rsidP="007B0B67">
      <w:pPr>
        <w:spacing w:line="360" w:lineRule="auto"/>
        <w:jc w:val="both"/>
        <w:rPr>
          <w:rFonts w:ascii="Arial" w:hAnsi="Arial" w:cs="Arial"/>
        </w:rPr>
      </w:pPr>
    </w:p>
    <w:p w14:paraId="71C3CDC9" w14:textId="77777777" w:rsidR="00D910C3" w:rsidRDefault="00D910C3" w:rsidP="007B0B67">
      <w:pPr>
        <w:spacing w:line="360" w:lineRule="auto"/>
        <w:jc w:val="both"/>
        <w:rPr>
          <w:rFonts w:ascii="Arial" w:hAnsi="Arial" w:cs="Arial"/>
        </w:rPr>
      </w:pPr>
    </w:p>
    <w:p w14:paraId="31AB7445" w14:textId="77777777" w:rsidR="00D910C3" w:rsidRDefault="00D910C3" w:rsidP="007B0B67">
      <w:pPr>
        <w:spacing w:line="360" w:lineRule="auto"/>
        <w:jc w:val="both"/>
        <w:rPr>
          <w:rFonts w:ascii="Arial" w:hAnsi="Arial" w:cs="Arial"/>
        </w:rPr>
      </w:pPr>
    </w:p>
    <w:p w14:paraId="01ADF499" w14:textId="77777777" w:rsidR="00D910C3" w:rsidRDefault="00D910C3" w:rsidP="007B0B67">
      <w:pPr>
        <w:spacing w:line="360" w:lineRule="auto"/>
        <w:jc w:val="both"/>
        <w:rPr>
          <w:rFonts w:ascii="Arial" w:hAnsi="Arial" w:cs="Arial"/>
        </w:rPr>
      </w:pPr>
    </w:p>
    <w:p w14:paraId="0C4B9A5E" w14:textId="77777777" w:rsidR="00D910C3" w:rsidRDefault="00D910C3" w:rsidP="007B0B67">
      <w:pPr>
        <w:spacing w:line="360" w:lineRule="auto"/>
        <w:jc w:val="both"/>
        <w:rPr>
          <w:rFonts w:ascii="Arial" w:hAnsi="Arial" w:cs="Arial"/>
        </w:rPr>
      </w:pPr>
    </w:p>
    <w:p w14:paraId="4C95355F" w14:textId="77777777" w:rsidR="00D910C3" w:rsidRDefault="00D910C3" w:rsidP="007B0B67">
      <w:pPr>
        <w:spacing w:line="360" w:lineRule="auto"/>
        <w:jc w:val="both"/>
        <w:rPr>
          <w:rFonts w:ascii="Arial" w:hAnsi="Arial" w:cs="Arial"/>
        </w:rPr>
      </w:pPr>
    </w:p>
    <w:p w14:paraId="2116442F" w14:textId="466E181E" w:rsidR="00090FCD" w:rsidRPr="00B867D0" w:rsidRDefault="00B867D0" w:rsidP="00090FCD">
      <w:pPr>
        <w:pStyle w:val="Prrafodelista"/>
        <w:numPr>
          <w:ilvl w:val="0"/>
          <w:numId w:val="6"/>
        </w:numPr>
        <w:spacing w:line="360" w:lineRule="auto"/>
        <w:jc w:val="both"/>
        <w:rPr>
          <w:rFonts w:ascii="Arial" w:hAnsi="Arial" w:cs="Arial"/>
        </w:rPr>
      </w:pPr>
      <w:r w:rsidRPr="00B867D0">
        <w:rPr>
          <w:rFonts w:ascii="Arial" w:hAnsi="Arial" w:cs="Arial"/>
          <w:b/>
          <w:bCs/>
        </w:rPr>
        <w:lastRenderedPageBreak/>
        <w:t>Validación Técnica y Diagnósticos Aplicados</w:t>
      </w:r>
    </w:p>
    <w:p w14:paraId="57220000" w14:textId="77777777" w:rsidR="00D910C3" w:rsidRPr="00D910C3" w:rsidRDefault="00D910C3" w:rsidP="00D910C3">
      <w:pPr>
        <w:spacing w:line="360" w:lineRule="auto"/>
        <w:jc w:val="both"/>
        <w:rPr>
          <w:rFonts w:ascii="Arial" w:hAnsi="Arial" w:cs="Arial"/>
          <w:b/>
          <w:bCs/>
        </w:rPr>
      </w:pPr>
      <w:r w:rsidRPr="00D910C3">
        <w:rPr>
          <w:rFonts w:ascii="Arial" w:hAnsi="Arial" w:cs="Arial"/>
          <w:b/>
          <w:bCs/>
        </w:rPr>
        <w:t>Diagnósticos de Robustez del Modelo Logístico</w:t>
      </w:r>
    </w:p>
    <w:p w14:paraId="4E66EEBE" w14:textId="77777777" w:rsidR="00D910C3" w:rsidRPr="00D910C3" w:rsidRDefault="00D910C3" w:rsidP="00D910C3">
      <w:pPr>
        <w:spacing w:line="360" w:lineRule="auto"/>
        <w:jc w:val="both"/>
        <w:rPr>
          <w:rFonts w:ascii="Arial" w:hAnsi="Arial" w:cs="Arial"/>
        </w:rPr>
      </w:pPr>
      <w:r w:rsidRPr="00D910C3">
        <w:rPr>
          <w:rFonts w:ascii="Arial" w:hAnsi="Arial" w:cs="Arial"/>
        </w:rPr>
        <w:t>Para garantizar la robustez del modelo logístico, se aplicaron los siguientes diagnósticos:</w:t>
      </w:r>
    </w:p>
    <w:p w14:paraId="5DE1DAB2" w14:textId="76E5DFFA" w:rsidR="00D910C3" w:rsidRPr="00D910C3" w:rsidRDefault="00D910C3" w:rsidP="00D910C3">
      <w:pPr>
        <w:numPr>
          <w:ilvl w:val="0"/>
          <w:numId w:val="32"/>
        </w:numPr>
        <w:spacing w:line="360" w:lineRule="auto"/>
        <w:jc w:val="both"/>
        <w:rPr>
          <w:rFonts w:ascii="Arial" w:hAnsi="Arial" w:cs="Arial"/>
        </w:rPr>
      </w:pPr>
      <w:r w:rsidRPr="00D910C3">
        <w:rPr>
          <w:rFonts w:ascii="Arial" w:hAnsi="Arial" w:cs="Arial"/>
          <w:b/>
          <w:bCs/>
        </w:rPr>
        <w:t xml:space="preserve">Prueba de </w:t>
      </w:r>
      <w:proofErr w:type="spellStart"/>
      <w:r w:rsidRPr="00D910C3">
        <w:rPr>
          <w:rFonts w:ascii="Arial" w:hAnsi="Arial" w:cs="Arial"/>
          <w:b/>
          <w:bCs/>
        </w:rPr>
        <w:t>Hosmer-Lemeshow</w:t>
      </w:r>
      <w:proofErr w:type="spellEnd"/>
      <w:r w:rsidRPr="00D910C3">
        <w:rPr>
          <w:rFonts w:ascii="Arial" w:hAnsi="Arial" w:cs="Arial"/>
        </w:rPr>
        <w:t>:</w:t>
      </w:r>
      <w:r>
        <w:rPr>
          <w:rFonts w:ascii="Arial" w:hAnsi="Arial" w:cs="Arial"/>
        </w:rPr>
        <w:tab/>
      </w:r>
      <w:r w:rsidRPr="00D910C3">
        <w:rPr>
          <w:rFonts w:ascii="Arial" w:hAnsi="Arial" w:cs="Arial"/>
        </w:rPr>
        <w:br/>
        <w:t>Se evaluó la bondad de ajuste global del modelo mediante esta prueba, la cual arrojó un </w:t>
      </w:r>
      <w:r w:rsidRPr="00D910C3">
        <w:rPr>
          <w:rFonts w:ascii="Arial" w:hAnsi="Arial" w:cs="Arial"/>
          <w:i/>
          <w:iCs/>
        </w:rPr>
        <w:t>p-valor</w:t>
      </w:r>
      <w:r w:rsidRPr="00D910C3">
        <w:rPr>
          <w:rFonts w:ascii="Arial" w:hAnsi="Arial" w:cs="Arial"/>
        </w:rPr>
        <w:t> de 0.312, indicando que no existen diferencias significativas entre las probabilidades predichas y las observadas. Esto confirma que el modelo se ajusta adecuadamente a los datos.</w:t>
      </w:r>
    </w:p>
    <w:p w14:paraId="3C8FB92E" w14:textId="6BCE6797" w:rsidR="00D910C3" w:rsidRPr="00D910C3" w:rsidRDefault="00D910C3" w:rsidP="00D910C3">
      <w:pPr>
        <w:numPr>
          <w:ilvl w:val="0"/>
          <w:numId w:val="32"/>
        </w:numPr>
        <w:spacing w:line="360" w:lineRule="auto"/>
        <w:jc w:val="both"/>
        <w:rPr>
          <w:rFonts w:ascii="Arial" w:hAnsi="Arial" w:cs="Arial"/>
        </w:rPr>
      </w:pPr>
      <w:r w:rsidRPr="00D910C3">
        <w:rPr>
          <w:rFonts w:ascii="Arial" w:hAnsi="Arial" w:cs="Arial"/>
          <w:b/>
          <w:bCs/>
        </w:rPr>
        <w:t>Factores de Inflación de Varianza (VIF)</w:t>
      </w:r>
      <w:r w:rsidRPr="00D910C3">
        <w:rPr>
          <w:rFonts w:ascii="Arial" w:hAnsi="Arial" w:cs="Arial"/>
        </w:rPr>
        <w:t>:</w:t>
      </w:r>
      <w:r>
        <w:rPr>
          <w:rFonts w:ascii="Arial" w:hAnsi="Arial" w:cs="Arial"/>
        </w:rPr>
        <w:tab/>
      </w:r>
      <w:r w:rsidRPr="00D910C3">
        <w:rPr>
          <w:rFonts w:ascii="Arial" w:hAnsi="Arial" w:cs="Arial"/>
        </w:rPr>
        <w:br/>
        <w:t>Se calculó el VIF para cada variable independiente para detectar posibles problemas de multicolinealidad. Todos los valores fueron inferiores a 3, lo que indica que la multicolinealidad no es una preocupación significativa en el modelo.</w:t>
      </w:r>
    </w:p>
    <w:p w14:paraId="70BFDD5E" w14:textId="6868F547" w:rsidR="00D910C3" w:rsidRPr="00D910C3" w:rsidRDefault="00D910C3" w:rsidP="00D910C3">
      <w:pPr>
        <w:numPr>
          <w:ilvl w:val="0"/>
          <w:numId w:val="32"/>
        </w:numPr>
        <w:spacing w:line="360" w:lineRule="auto"/>
        <w:jc w:val="both"/>
        <w:rPr>
          <w:rFonts w:ascii="Arial" w:hAnsi="Arial" w:cs="Arial"/>
        </w:rPr>
      </w:pPr>
      <w:r w:rsidRPr="00D910C3">
        <w:rPr>
          <w:rFonts w:ascii="Arial" w:hAnsi="Arial" w:cs="Arial"/>
          <w:b/>
          <w:bCs/>
        </w:rPr>
        <w:t>Análisis de Residuales</w:t>
      </w:r>
      <w:r w:rsidRPr="00D910C3">
        <w:rPr>
          <w:rFonts w:ascii="Arial" w:hAnsi="Arial" w:cs="Arial"/>
        </w:rPr>
        <w:t>:</w:t>
      </w:r>
      <w:r>
        <w:rPr>
          <w:rFonts w:ascii="Arial" w:hAnsi="Arial" w:cs="Arial"/>
        </w:rPr>
        <w:tab/>
      </w:r>
      <w:r w:rsidRPr="00D910C3">
        <w:rPr>
          <w:rFonts w:ascii="Arial" w:hAnsi="Arial" w:cs="Arial"/>
        </w:rPr>
        <w:br/>
        <w:t xml:space="preserve">Se examinaron los residuos de </w:t>
      </w:r>
      <w:proofErr w:type="spellStart"/>
      <w:r w:rsidRPr="00D910C3">
        <w:rPr>
          <w:rFonts w:ascii="Arial" w:hAnsi="Arial" w:cs="Arial"/>
        </w:rPr>
        <w:t>devianza</w:t>
      </w:r>
      <w:proofErr w:type="spellEnd"/>
      <w:r w:rsidRPr="00D910C3">
        <w:rPr>
          <w:rFonts w:ascii="Arial" w:hAnsi="Arial" w:cs="Arial"/>
        </w:rPr>
        <w:t xml:space="preserve"> para identificar observaciones atípicas o influyentes. Si bien se detectaron algunas observaciones con </w:t>
      </w:r>
      <w:proofErr w:type="spellStart"/>
      <w:r w:rsidRPr="00D910C3">
        <w:rPr>
          <w:rFonts w:ascii="Arial" w:hAnsi="Arial" w:cs="Arial"/>
        </w:rPr>
        <w:t>leverage</w:t>
      </w:r>
      <w:proofErr w:type="spellEnd"/>
      <w:r w:rsidRPr="00D910C3">
        <w:rPr>
          <w:rFonts w:ascii="Arial" w:hAnsi="Arial" w:cs="Arial"/>
        </w:rPr>
        <w:t xml:space="preserve"> moderado, ninguna ejerció una influencia desproporcionada sobre los coeficientes del modelo.</w:t>
      </w:r>
    </w:p>
    <w:p w14:paraId="0B9C602E" w14:textId="1D969483" w:rsidR="00D910C3" w:rsidRPr="00D910C3" w:rsidRDefault="00D910C3" w:rsidP="00D910C3">
      <w:pPr>
        <w:numPr>
          <w:ilvl w:val="0"/>
          <w:numId w:val="32"/>
        </w:numPr>
        <w:spacing w:line="360" w:lineRule="auto"/>
        <w:jc w:val="both"/>
        <w:rPr>
          <w:rFonts w:ascii="Arial" w:hAnsi="Arial" w:cs="Arial"/>
        </w:rPr>
      </w:pPr>
      <w:r w:rsidRPr="00D910C3">
        <w:rPr>
          <w:rFonts w:ascii="Arial" w:hAnsi="Arial" w:cs="Arial"/>
          <w:b/>
          <w:bCs/>
        </w:rPr>
        <w:t>Validación Cruzada</w:t>
      </w:r>
      <w:r w:rsidRPr="00D910C3">
        <w:rPr>
          <w:rFonts w:ascii="Arial" w:hAnsi="Arial" w:cs="Arial"/>
        </w:rPr>
        <w:t>:</w:t>
      </w:r>
      <w:r>
        <w:rPr>
          <w:rFonts w:ascii="Arial" w:hAnsi="Arial" w:cs="Arial"/>
        </w:rPr>
        <w:tab/>
      </w:r>
      <w:r w:rsidRPr="00D910C3">
        <w:rPr>
          <w:rFonts w:ascii="Arial" w:hAnsi="Arial" w:cs="Arial"/>
        </w:rPr>
        <w:br/>
        <w:t>Se implementó una validación cruzada de 10 pliegues para evaluar la estabilidad del modelo. La exactitud promedio obtenida fue de 73.2% con una desviación estándar de ±4.1%, demostrando que el modelo mantiene un rendimiento consistente en diferentes subconjuntos de datos.</w:t>
      </w:r>
    </w:p>
    <w:p w14:paraId="09227019" w14:textId="77777777" w:rsidR="00D910C3" w:rsidRPr="00D910C3" w:rsidRDefault="00D910C3" w:rsidP="00D910C3">
      <w:pPr>
        <w:spacing w:line="360" w:lineRule="auto"/>
        <w:jc w:val="both"/>
        <w:rPr>
          <w:rFonts w:ascii="Arial" w:hAnsi="Arial" w:cs="Arial"/>
          <w:b/>
          <w:bCs/>
        </w:rPr>
      </w:pPr>
      <w:r w:rsidRPr="00D910C3">
        <w:rPr>
          <w:rFonts w:ascii="Arial" w:hAnsi="Arial" w:cs="Arial"/>
          <w:b/>
          <w:bCs/>
        </w:rPr>
        <w:t>Evaluación del Ajuste del Modelo</w:t>
      </w:r>
    </w:p>
    <w:p w14:paraId="09332915" w14:textId="77777777" w:rsidR="00D910C3" w:rsidRPr="00D910C3" w:rsidRDefault="00D910C3" w:rsidP="00D910C3">
      <w:pPr>
        <w:spacing w:line="360" w:lineRule="auto"/>
        <w:jc w:val="both"/>
        <w:rPr>
          <w:rFonts w:ascii="Arial" w:hAnsi="Arial" w:cs="Arial"/>
        </w:rPr>
      </w:pPr>
      <w:r w:rsidRPr="00D910C3">
        <w:rPr>
          <w:rFonts w:ascii="Arial" w:hAnsi="Arial" w:cs="Arial"/>
        </w:rPr>
        <w:t>La evaluación del modelo se realizó utilizando múltiples métricas:</w:t>
      </w:r>
    </w:p>
    <w:p w14:paraId="0ABBAE60" w14:textId="34CC38C3" w:rsidR="00D910C3" w:rsidRPr="00D910C3" w:rsidRDefault="00D910C3" w:rsidP="00D910C3">
      <w:pPr>
        <w:numPr>
          <w:ilvl w:val="0"/>
          <w:numId w:val="33"/>
        </w:numPr>
        <w:spacing w:line="360" w:lineRule="auto"/>
        <w:jc w:val="both"/>
        <w:rPr>
          <w:rFonts w:ascii="Arial" w:hAnsi="Arial" w:cs="Arial"/>
        </w:rPr>
      </w:pPr>
      <w:r w:rsidRPr="00D910C3">
        <w:rPr>
          <w:rFonts w:ascii="Arial" w:hAnsi="Arial" w:cs="Arial"/>
          <w:b/>
          <w:bCs/>
        </w:rPr>
        <w:t>Criterios de Información (AIC y BIC)</w:t>
      </w:r>
      <w:r w:rsidRPr="00D910C3">
        <w:rPr>
          <w:rFonts w:ascii="Arial" w:hAnsi="Arial" w:cs="Arial"/>
        </w:rPr>
        <w:t>:</w:t>
      </w:r>
      <w:r>
        <w:rPr>
          <w:rFonts w:ascii="Arial" w:hAnsi="Arial" w:cs="Arial"/>
        </w:rPr>
        <w:tab/>
      </w:r>
      <w:r w:rsidRPr="00D910C3">
        <w:rPr>
          <w:rFonts w:ascii="Arial" w:hAnsi="Arial" w:cs="Arial"/>
        </w:rPr>
        <w:br/>
        <w:t xml:space="preserve">El modelo logístico con interacción presentó un AIC de 245.3 y un BIC de </w:t>
      </w:r>
      <w:r w:rsidRPr="00D910C3">
        <w:rPr>
          <w:rFonts w:ascii="Arial" w:hAnsi="Arial" w:cs="Arial"/>
        </w:rPr>
        <w:lastRenderedPageBreak/>
        <w:t>260.7, valores inferiores a los del modelo sin interacción (AIC=255.1, BIC=266.5). Esta reducción indica un mejor equilibrio entre la bondad de ajuste y la parsimonia, respaldando la inclusión del término de interacción.</w:t>
      </w:r>
    </w:p>
    <w:p w14:paraId="5D1D3EA3" w14:textId="19AA5C25" w:rsidR="00D910C3" w:rsidRPr="00D910C3" w:rsidRDefault="00D910C3" w:rsidP="00D910C3">
      <w:pPr>
        <w:numPr>
          <w:ilvl w:val="0"/>
          <w:numId w:val="33"/>
        </w:numPr>
        <w:spacing w:line="360" w:lineRule="auto"/>
        <w:jc w:val="both"/>
        <w:rPr>
          <w:rFonts w:ascii="Arial" w:hAnsi="Arial" w:cs="Arial"/>
        </w:rPr>
      </w:pPr>
      <w:r w:rsidRPr="00D910C3">
        <w:rPr>
          <w:rFonts w:ascii="Arial" w:hAnsi="Arial" w:cs="Arial"/>
          <w:b/>
          <w:bCs/>
        </w:rPr>
        <w:t>Curva ROC y AUC</w:t>
      </w:r>
      <w:r w:rsidRPr="00D910C3">
        <w:rPr>
          <w:rFonts w:ascii="Arial" w:hAnsi="Arial" w:cs="Arial"/>
        </w:rPr>
        <w:t>:</w:t>
      </w:r>
      <w:r>
        <w:rPr>
          <w:rFonts w:ascii="Arial" w:hAnsi="Arial" w:cs="Arial"/>
        </w:rPr>
        <w:tab/>
      </w:r>
      <w:r w:rsidRPr="00D910C3">
        <w:rPr>
          <w:rFonts w:ascii="Arial" w:hAnsi="Arial" w:cs="Arial"/>
        </w:rPr>
        <w:br/>
        <w:t>Se construyó la curva ROC para evaluar la capacidad discriminatoria del modelo. El área bajo la curva (AUC) fue de 0.821, lo que se considera una capacidad excelente para distinguir entre funcionarios con alta y baja productividad.</w:t>
      </w:r>
    </w:p>
    <w:p w14:paraId="45F8E209" w14:textId="77777777" w:rsidR="00D910C3" w:rsidRPr="00D910C3" w:rsidRDefault="00D910C3" w:rsidP="00D910C3">
      <w:pPr>
        <w:numPr>
          <w:ilvl w:val="0"/>
          <w:numId w:val="33"/>
        </w:numPr>
        <w:spacing w:line="360" w:lineRule="auto"/>
        <w:jc w:val="both"/>
        <w:rPr>
          <w:rFonts w:ascii="Arial" w:hAnsi="Arial" w:cs="Arial"/>
        </w:rPr>
      </w:pPr>
      <w:r w:rsidRPr="00D910C3">
        <w:rPr>
          <w:rFonts w:ascii="Arial" w:hAnsi="Arial" w:cs="Arial"/>
          <w:b/>
          <w:bCs/>
        </w:rPr>
        <w:t>Métricas de Clasificación</w:t>
      </w:r>
      <w:r w:rsidRPr="00D910C3">
        <w:rPr>
          <w:rFonts w:ascii="Arial" w:hAnsi="Arial" w:cs="Arial"/>
        </w:rPr>
        <w:t>:</w:t>
      </w:r>
    </w:p>
    <w:p w14:paraId="78043F8B" w14:textId="77777777" w:rsidR="00D910C3" w:rsidRPr="00D910C3" w:rsidRDefault="00D910C3" w:rsidP="00D910C3">
      <w:pPr>
        <w:numPr>
          <w:ilvl w:val="1"/>
          <w:numId w:val="33"/>
        </w:numPr>
        <w:tabs>
          <w:tab w:val="num" w:pos="1440"/>
        </w:tabs>
        <w:spacing w:line="360" w:lineRule="auto"/>
        <w:jc w:val="both"/>
        <w:rPr>
          <w:rFonts w:ascii="Arial" w:hAnsi="Arial" w:cs="Arial"/>
        </w:rPr>
      </w:pPr>
      <w:r w:rsidRPr="00D910C3">
        <w:rPr>
          <w:rFonts w:ascii="Arial" w:hAnsi="Arial" w:cs="Arial"/>
        </w:rPr>
        <w:t>Exactitud (</w:t>
      </w:r>
      <w:proofErr w:type="spellStart"/>
      <w:r w:rsidRPr="00D910C3">
        <w:rPr>
          <w:rFonts w:ascii="Arial" w:hAnsi="Arial" w:cs="Arial"/>
        </w:rPr>
        <w:t>Accuracy</w:t>
      </w:r>
      <w:proofErr w:type="spellEnd"/>
      <w:r w:rsidRPr="00D910C3">
        <w:rPr>
          <w:rFonts w:ascii="Arial" w:hAnsi="Arial" w:cs="Arial"/>
        </w:rPr>
        <w:t>): 75.0%</w:t>
      </w:r>
    </w:p>
    <w:p w14:paraId="5606B440" w14:textId="77777777" w:rsidR="00D910C3" w:rsidRPr="00D910C3" w:rsidRDefault="00D910C3" w:rsidP="00D910C3">
      <w:pPr>
        <w:numPr>
          <w:ilvl w:val="1"/>
          <w:numId w:val="33"/>
        </w:numPr>
        <w:tabs>
          <w:tab w:val="num" w:pos="1440"/>
        </w:tabs>
        <w:spacing w:line="360" w:lineRule="auto"/>
        <w:jc w:val="both"/>
        <w:rPr>
          <w:rFonts w:ascii="Arial" w:hAnsi="Arial" w:cs="Arial"/>
        </w:rPr>
      </w:pPr>
      <w:r w:rsidRPr="00D910C3">
        <w:rPr>
          <w:rFonts w:ascii="Arial" w:hAnsi="Arial" w:cs="Arial"/>
        </w:rPr>
        <w:t>Sensibilidad (</w:t>
      </w:r>
      <w:proofErr w:type="spellStart"/>
      <w:r w:rsidRPr="00D910C3">
        <w:rPr>
          <w:rFonts w:ascii="Arial" w:hAnsi="Arial" w:cs="Arial"/>
        </w:rPr>
        <w:t>Recall</w:t>
      </w:r>
      <w:proofErr w:type="spellEnd"/>
      <w:r w:rsidRPr="00D910C3">
        <w:rPr>
          <w:rFonts w:ascii="Arial" w:hAnsi="Arial" w:cs="Arial"/>
        </w:rPr>
        <w:t>): 78.8%</w:t>
      </w:r>
    </w:p>
    <w:p w14:paraId="5A3DE5B9" w14:textId="77777777" w:rsidR="00D910C3" w:rsidRPr="00D910C3" w:rsidRDefault="00D910C3" w:rsidP="00D910C3">
      <w:pPr>
        <w:numPr>
          <w:ilvl w:val="1"/>
          <w:numId w:val="33"/>
        </w:numPr>
        <w:tabs>
          <w:tab w:val="num" w:pos="1440"/>
        </w:tabs>
        <w:spacing w:line="360" w:lineRule="auto"/>
        <w:jc w:val="both"/>
        <w:rPr>
          <w:rFonts w:ascii="Arial" w:hAnsi="Arial" w:cs="Arial"/>
        </w:rPr>
      </w:pPr>
      <w:r w:rsidRPr="00D910C3">
        <w:rPr>
          <w:rFonts w:ascii="Arial" w:hAnsi="Arial" w:cs="Arial"/>
        </w:rPr>
        <w:t>Especificidad: 71.9%</w:t>
      </w:r>
    </w:p>
    <w:p w14:paraId="13A2C852" w14:textId="77777777" w:rsidR="00D910C3" w:rsidRPr="00D910C3" w:rsidRDefault="00D910C3" w:rsidP="00D910C3">
      <w:pPr>
        <w:numPr>
          <w:ilvl w:val="1"/>
          <w:numId w:val="33"/>
        </w:numPr>
        <w:tabs>
          <w:tab w:val="num" w:pos="1440"/>
        </w:tabs>
        <w:spacing w:line="360" w:lineRule="auto"/>
        <w:jc w:val="both"/>
        <w:rPr>
          <w:rFonts w:ascii="Arial" w:hAnsi="Arial" w:cs="Arial"/>
        </w:rPr>
      </w:pPr>
      <w:r w:rsidRPr="00D910C3">
        <w:rPr>
          <w:rFonts w:ascii="Arial" w:hAnsi="Arial" w:cs="Arial"/>
        </w:rPr>
        <w:t>Precisión: 74.5%</w:t>
      </w:r>
    </w:p>
    <w:p w14:paraId="3B01FDF6" w14:textId="77777777" w:rsidR="00D910C3" w:rsidRDefault="00D910C3" w:rsidP="00D910C3">
      <w:pPr>
        <w:numPr>
          <w:ilvl w:val="1"/>
          <w:numId w:val="33"/>
        </w:numPr>
        <w:spacing w:line="360" w:lineRule="auto"/>
        <w:jc w:val="both"/>
        <w:rPr>
          <w:rFonts w:ascii="Arial" w:hAnsi="Arial" w:cs="Arial"/>
        </w:rPr>
      </w:pPr>
      <w:r w:rsidRPr="00D910C3">
        <w:rPr>
          <w:rFonts w:ascii="Arial" w:hAnsi="Arial" w:cs="Arial"/>
        </w:rPr>
        <w:t>Puntuación F1:</w:t>
      </w:r>
      <w:r w:rsidRPr="00D910C3">
        <w:rPr>
          <w:rFonts w:ascii="Arial" w:hAnsi="Arial" w:cs="Arial"/>
        </w:rPr>
        <w:tab/>
      </w:r>
      <w:r w:rsidRPr="00D910C3">
        <w:rPr>
          <w:rFonts w:ascii="Arial" w:hAnsi="Arial" w:cs="Arial"/>
        </w:rPr>
        <w:t xml:space="preserve"> 76.3%</w:t>
      </w:r>
    </w:p>
    <w:p w14:paraId="66EBAAA8" w14:textId="3039F893" w:rsidR="00D910C3" w:rsidRPr="00D910C3" w:rsidRDefault="00D910C3" w:rsidP="00D910C3">
      <w:pPr>
        <w:spacing w:line="360" w:lineRule="auto"/>
        <w:ind w:left="1080"/>
        <w:jc w:val="both"/>
        <w:rPr>
          <w:rFonts w:ascii="Arial" w:hAnsi="Arial" w:cs="Arial"/>
        </w:rPr>
      </w:pPr>
      <w:r w:rsidRPr="00D910C3">
        <w:rPr>
          <w:rFonts w:ascii="Arial" w:hAnsi="Arial" w:cs="Arial"/>
        </w:rPr>
        <w:t>Estas métricas superaron consistentemente las del modelo alternativo sin interacción, que tuvo una exactitud del 68%.</w:t>
      </w:r>
    </w:p>
    <w:p w14:paraId="79FEEA0F" w14:textId="77777777" w:rsidR="00D910C3" w:rsidRPr="00D910C3" w:rsidRDefault="00D910C3" w:rsidP="00D910C3">
      <w:pPr>
        <w:spacing w:line="360" w:lineRule="auto"/>
        <w:jc w:val="both"/>
        <w:rPr>
          <w:rFonts w:ascii="Arial" w:hAnsi="Arial" w:cs="Arial"/>
          <w:b/>
          <w:bCs/>
        </w:rPr>
      </w:pPr>
      <w:r w:rsidRPr="00D910C3">
        <w:rPr>
          <w:rFonts w:ascii="Arial" w:hAnsi="Arial" w:cs="Arial"/>
          <w:b/>
          <w:bCs/>
        </w:rPr>
        <w:t>Problemas Técnicos Identificados y Soluciones Metodológicas</w:t>
      </w:r>
    </w:p>
    <w:p w14:paraId="43664B64" w14:textId="77777777" w:rsidR="00D910C3" w:rsidRPr="00D910C3" w:rsidRDefault="00D910C3" w:rsidP="00D910C3">
      <w:pPr>
        <w:spacing w:line="360" w:lineRule="auto"/>
        <w:jc w:val="both"/>
        <w:rPr>
          <w:rFonts w:ascii="Arial" w:hAnsi="Arial" w:cs="Arial"/>
        </w:rPr>
      </w:pPr>
      <w:r w:rsidRPr="00D910C3">
        <w:rPr>
          <w:rFonts w:ascii="Arial" w:hAnsi="Arial" w:cs="Arial"/>
        </w:rPr>
        <w:t>Durante el proceso de modelamiento, se identificaron y resolvieron los siguientes problemas:</w:t>
      </w:r>
    </w:p>
    <w:p w14:paraId="4667249A" w14:textId="77777777" w:rsidR="00D910C3" w:rsidRPr="00D910C3" w:rsidRDefault="00D910C3" w:rsidP="00D910C3">
      <w:pPr>
        <w:numPr>
          <w:ilvl w:val="0"/>
          <w:numId w:val="34"/>
        </w:numPr>
        <w:spacing w:line="360" w:lineRule="auto"/>
        <w:jc w:val="both"/>
        <w:rPr>
          <w:rFonts w:ascii="Arial" w:hAnsi="Arial" w:cs="Arial"/>
        </w:rPr>
      </w:pPr>
      <w:r w:rsidRPr="00D910C3">
        <w:rPr>
          <w:rFonts w:ascii="Arial" w:hAnsi="Arial" w:cs="Arial"/>
          <w:b/>
          <w:bCs/>
        </w:rPr>
        <w:t>Heterogeneidad en la Varianza de los Residuales</w:t>
      </w:r>
      <w:r w:rsidRPr="00D910C3">
        <w:rPr>
          <w:rFonts w:ascii="Arial" w:hAnsi="Arial" w:cs="Arial"/>
        </w:rPr>
        <w:t>:</w:t>
      </w:r>
    </w:p>
    <w:p w14:paraId="7DF409A6"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Problema: El gráfico de residuos frente a los valores ajustados mostró cierta heterogeneidad en la varianza.</w:t>
      </w:r>
    </w:p>
    <w:p w14:paraId="1623201D"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 xml:space="preserve">Solución: Se utilizaron errores estándar robustos y se aplicó la técnica de </w:t>
      </w:r>
      <w:proofErr w:type="spellStart"/>
      <w:r w:rsidRPr="00D910C3">
        <w:rPr>
          <w:rFonts w:ascii="Arial" w:hAnsi="Arial" w:cs="Arial"/>
        </w:rPr>
        <w:t>bootstrap</w:t>
      </w:r>
      <w:proofErr w:type="spellEnd"/>
      <w:r w:rsidRPr="00D910C3">
        <w:rPr>
          <w:rFonts w:ascii="Arial" w:hAnsi="Arial" w:cs="Arial"/>
        </w:rPr>
        <w:t xml:space="preserve"> (con 1000 réplicas) para obtener intervalos de confianza más confiables para los coeficientes, mitigando el impacto de la heterocedasticidad.</w:t>
      </w:r>
    </w:p>
    <w:p w14:paraId="5C93C749" w14:textId="77777777" w:rsidR="00D910C3" w:rsidRPr="00D910C3" w:rsidRDefault="00D910C3" w:rsidP="00D910C3">
      <w:pPr>
        <w:numPr>
          <w:ilvl w:val="0"/>
          <w:numId w:val="34"/>
        </w:numPr>
        <w:spacing w:line="360" w:lineRule="auto"/>
        <w:jc w:val="both"/>
        <w:rPr>
          <w:rFonts w:ascii="Arial" w:hAnsi="Arial" w:cs="Arial"/>
        </w:rPr>
      </w:pPr>
      <w:r w:rsidRPr="00D910C3">
        <w:rPr>
          <w:rFonts w:ascii="Arial" w:hAnsi="Arial" w:cs="Arial"/>
          <w:b/>
          <w:bCs/>
        </w:rPr>
        <w:lastRenderedPageBreak/>
        <w:t>Selección del Umbral de Clasificación</w:t>
      </w:r>
      <w:r w:rsidRPr="00D910C3">
        <w:rPr>
          <w:rFonts w:ascii="Arial" w:hAnsi="Arial" w:cs="Arial"/>
        </w:rPr>
        <w:t>:</w:t>
      </w:r>
    </w:p>
    <w:p w14:paraId="2C5111B0"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Problema: El uso del umbral predeterminado de 0.5 no maximizaba las métricas de clasificación.</w:t>
      </w:r>
    </w:p>
    <w:p w14:paraId="3D20626E"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 xml:space="preserve">Solución: Se determinó el umbral óptimo (0.48) utilizando el índice de </w:t>
      </w:r>
      <w:proofErr w:type="spellStart"/>
      <w:r w:rsidRPr="00D910C3">
        <w:rPr>
          <w:rFonts w:ascii="Arial" w:hAnsi="Arial" w:cs="Arial"/>
        </w:rPr>
        <w:t>Youden</w:t>
      </w:r>
      <w:proofErr w:type="spellEnd"/>
      <w:r w:rsidRPr="00D910C3">
        <w:rPr>
          <w:rFonts w:ascii="Arial" w:hAnsi="Arial" w:cs="Arial"/>
        </w:rPr>
        <w:t>, el cual maximiza la sensibilidad y la especificidad, mejorando la capacidad clasificatoria del modelo.</w:t>
      </w:r>
    </w:p>
    <w:p w14:paraId="1E6CF978" w14:textId="77777777" w:rsidR="00D910C3" w:rsidRPr="00D910C3" w:rsidRDefault="00D910C3" w:rsidP="00D910C3">
      <w:pPr>
        <w:numPr>
          <w:ilvl w:val="0"/>
          <w:numId w:val="34"/>
        </w:numPr>
        <w:spacing w:line="360" w:lineRule="auto"/>
        <w:jc w:val="both"/>
        <w:rPr>
          <w:rFonts w:ascii="Arial" w:hAnsi="Arial" w:cs="Arial"/>
        </w:rPr>
      </w:pPr>
      <w:r w:rsidRPr="00D910C3">
        <w:rPr>
          <w:rFonts w:ascii="Arial" w:hAnsi="Arial" w:cs="Arial"/>
          <w:b/>
          <w:bCs/>
        </w:rPr>
        <w:t>Significancia Marginal del Término de Interacción</w:t>
      </w:r>
      <w:r w:rsidRPr="00D910C3">
        <w:rPr>
          <w:rFonts w:ascii="Arial" w:hAnsi="Arial" w:cs="Arial"/>
        </w:rPr>
        <w:t>:</w:t>
      </w:r>
    </w:p>
    <w:p w14:paraId="55AB2C76"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Problema: El término de interacción entre días de teletrabajo y educación universitaria mostró una significancia marginal (p=0.024) en la primera estimación.</w:t>
      </w:r>
    </w:p>
    <w:p w14:paraId="22D589BA"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 xml:space="preserve">Solución: Se realizó </w:t>
      </w:r>
      <w:proofErr w:type="gramStart"/>
      <w:r w:rsidRPr="00D910C3">
        <w:rPr>
          <w:rFonts w:ascii="Arial" w:hAnsi="Arial" w:cs="Arial"/>
        </w:rPr>
        <w:t>un test</w:t>
      </w:r>
      <w:proofErr w:type="gramEnd"/>
      <w:r w:rsidRPr="00D910C3">
        <w:rPr>
          <w:rFonts w:ascii="Arial" w:hAnsi="Arial" w:cs="Arial"/>
        </w:rPr>
        <w:t xml:space="preserve"> de razón de verosimilitud comparando el modelo con y sin interacción. El resultado (p=0.019) confirmó que la inclusión de la interacción mejora significativamente el ajuste del modelo, justificando su permanencia.</w:t>
      </w:r>
    </w:p>
    <w:p w14:paraId="75117CC2" w14:textId="77777777" w:rsidR="00D910C3" w:rsidRPr="00D910C3" w:rsidRDefault="00D910C3" w:rsidP="00D910C3">
      <w:pPr>
        <w:numPr>
          <w:ilvl w:val="0"/>
          <w:numId w:val="34"/>
        </w:numPr>
        <w:spacing w:line="360" w:lineRule="auto"/>
        <w:jc w:val="both"/>
        <w:rPr>
          <w:rFonts w:ascii="Arial" w:hAnsi="Arial" w:cs="Arial"/>
        </w:rPr>
      </w:pPr>
      <w:r w:rsidRPr="00D910C3">
        <w:rPr>
          <w:rFonts w:ascii="Arial" w:hAnsi="Arial" w:cs="Arial"/>
          <w:b/>
          <w:bCs/>
        </w:rPr>
        <w:t>Comparación con Modelos Alternativos</w:t>
      </w:r>
      <w:r w:rsidRPr="00D910C3">
        <w:rPr>
          <w:rFonts w:ascii="Arial" w:hAnsi="Arial" w:cs="Arial"/>
        </w:rPr>
        <w:t>:</w:t>
      </w:r>
    </w:p>
    <w:p w14:paraId="3AEC16AA"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 xml:space="preserve">Problema: Era necesario asegurar que el modelo logístico fuera superior a alternativas como el modelo </w:t>
      </w:r>
      <w:proofErr w:type="spellStart"/>
      <w:r w:rsidRPr="00D910C3">
        <w:rPr>
          <w:rFonts w:ascii="Arial" w:hAnsi="Arial" w:cs="Arial"/>
        </w:rPr>
        <w:t>probit</w:t>
      </w:r>
      <w:proofErr w:type="spellEnd"/>
      <w:r w:rsidRPr="00D910C3">
        <w:rPr>
          <w:rFonts w:ascii="Arial" w:hAnsi="Arial" w:cs="Arial"/>
        </w:rPr>
        <w:t>.</w:t>
      </w:r>
    </w:p>
    <w:p w14:paraId="0E2E38B9" w14:textId="77777777" w:rsidR="00D910C3" w:rsidRPr="00D910C3" w:rsidRDefault="00D910C3" w:rsidP="00D910C3">
      <w:pPr>
        <w:numPr>
          <w:ilvl w:val="1"/>
          <w:numId w:val="34"/>
        </w:numPr>
        <w:spacing w:line="360" w:lineRule="auto"/>
        <w:jc w:val="both"/>
        <w:rPr>
          <w:rFonts w:ascii="Arial" w:hAnsi="Arial" w:cs="Arial"/>
        </w:rPr>
      </w:pPr>
      <w:r w:rsidRPr="00D910C3">
        <w:rPr>
          <w:rFonts w:ascii="Arial" w:hAnsi="Arial" w:cs="Arial"/>
        </w:rPr>
        <w:t xml:space="preserve">Solución: Se estimó un modelo </w:t>
      </w:r>
      <w:proofErr w:type="spellStart"/>
      <w:r w:rsidRPr="00D910C3">
        <w:rPr>
          <w:rFonts w:ascii="Arial" w:hAnsi="Arial" w:cs="Arial"/>
        </w:rPr>
        <w:t>probit</w:t>
      </w:r>
      <w:proofErr w:type="spellEnd"/>
      <w:r w:rsidRPr="00D910C3">
        <w:rPr>
          <w:rFonts w:ascii="Arial" w:hAnsi="Arial" w:cs="Arial"/>
        </w:rPr>
        <w:t xml:space="preserve"> con las mismas variables. Los resultados mostraron un AIC similar (245.8 vs. 245.3) y coeficientes con magnitudes comparables. Se optó por el modelo logístico debido a la interpretación más intuitiva de los </w:t>
      </w:r>
      <w:proofErr w:type="spellStart"/>
      <w:r w:rsidRPr="00D910C3">
        <w:rPr>
          <w:rFonts w:ascii="Arial" w:hAnsi="Arial" w:cs="Arial"/>
          <w:i/>
          <w:iCs/>
        </w:rPr>
        <w:t>odds</w:t>
      </w:r>
      <w:proofErr w:type="spellEnd"/>
      <w:r w:rsidRPr="00D910C3">
        <w:rPr>
          <w:rFonts w:ascii="Arial" w:hAnsi="Arial" w:cs="Arial"/>
          <w:i/>
          <w:iCs/>
        </w:rPr>
        <w:t xml:space="preserve"> ratios</w:t>
      </w:r>
      <w:r w:rsidRPr="00D910C3">
        <w:rPr>
          <w:rFonts w:ascii="Arial" w:hAnsi="Arial" w:cs="Arial"/>
        </w:rPr>
        <w:t>.</w:t>
      </w:r>
    </w:p>
    <w:p w14:paraId="1E42D731" w14:textId="77777777" w:rsidR="00D910C3" w:rsidRPr="00D910C3" w:rsidRDefault="00D910C3" w:rsidP="00D910C3">
      <w:pPr>
        <w:spacing w:line="360" w:lineRule="auto"/>
        <w:jc w:val="both"/>
        <w:rPr>
          <w:rFonts w:ascii="Arial" w:hAnsi="Arial" w:cs="Arial"/>
        </w:rPr>
      </w:pPr>
      <w:r w:rsidRPr="00D910C3">
        <w:rPr>
          <w:rFonts w:ascii="Arial" w:hAnsi="Arial" w:cs="Arial"/>
        </w:rPr>
        <w:t>Esta validación exhaustiva demuestra que el modelo logístico final es robusto, presenta un buen ajuste a los datos y ofrece una capacidad predictiva superior para identificar a los funcionarios con alta productividad en el contexto del teletrabajo</w:t>
      </w:r>
    </w:p>
    <w:p w14:paraId="0A47ADD3" w14:textId="77777777" w:rsidR="00090FCD" w:rsidRDefault="00090FCD" w:rsidP="00090FCD">
      <w:pPr>
        <w:spacing w:line="360" w:lineRule="auto"/>
        <w:jc w:val="both"/>
        <w:rPr>
          <w:rFonts w:ascii="Arial" w:hAnsi="Arial" w:cs="Arial"/>
        </w:rPr>
      </w:pPr>
    </w:p>
    <w:p w14:paraId="1DB669E8" w14:textId="77777777" w:rsidR="00090FCD" w:rsidRDefault="00090FCD" w:rsidP="00090FCD">
      <w:pPr>
        <w:spacing w:line="360" w:lineRule="auto"/>
        <w:jc w:val="both"/>
        <w:rPr>
          <w:rFonts w:ascii="Arial" w:hAnsi="Arial" w:cs="Arial"/>
        </w:rPr>
      </w:pPr>
    </w:p>
    <w:p w14:paraId="4A3998B8" w14:textId="77777777" w:rsidR="00C126CE" w:rsidRDefault="00C126CE" w:rsidP="00090FCD">
      <w:pPr>
        <w:spacing w:line="360" w:lineRule="auto"/>
        <w:jc w:val="both"/>
        <w:rPr>
          <w:rFonts w:ascii="Arial" w:hAnsi="Arial" w:cs="Arial"/>
        </w:rPr>
      </w:pPr>
    </w:p>
    <w:p w14:paraId="2D238130" w14:textId="77777777" w:rsidR="00C126CE" w:rsidRDefault="00C126CE" w:rsidP="00090FCD">
      <w:pPr>
        <w:spacing w:line="360" w:lineRule="auto"/>
        <w:jc w:val="both"/>
        <w:rPr>
          <w:rFonts w:ascii="Arial" w:hAnsi="Arial" w:cs="Arial"/>
        </w:rPr>
      </w:pPr>
    </w:p>
    <w:p w14:paraId="2ED520EB" w14:textId="1608E131" w:rsidR="00090FCD" w:rsidRPr="005D77C5" w:rsidRDefault="00B867D0" w:rsidP="00090FCD">
      <w:pPr>
        <w:pStyle w:val="Prrafodelista"/>
        <w:numPr>
          <w:ilvl w:val="0"/>
          <w:numId w:val="6"/>
        </w:numPr>
        <w:spacing w:line="360" w:lineRule="auto"/>
        <w:jc w:val="both"/>
        <w:rPr>
          <w:rFonts w:ascii="Arial" w:hAnsi="Arial" w:cs="Arial"/>
          <w:b/>
          <w:bCs/>
        </w:rPr>
      </w:pPr>
      <w:r w:rsidRPr="00B867D0">
        <w:rPr>
          <w:rFonts w:ascii="Arial" w:hAnsi="Arial" w:cs="Arial"/>
          <w:b/>
          <w:bCs/>
        </w:rPr>
        <w:t xml:space="preserve">Interpretación Aplicada y Traducción de </w:t>
      </w:r>
      <w:proofErr w:type="spellStart"/>
      <w:r w:rsidRPr="00B867D0">
        <w:rPr>
          <w:rFonts w:ascii="Arial" w:hAnsi="Arial" w:cs="Arial"/>
          <w:b/>
          <w:bCs/>
        </w:rPr>
        <w:t>Odds</w:t>
      </w:r>
      <w:proofErr w:type="spellEnd"/>
      <w:r w:rsidRPr="00B867D0">
        <w:rPr>
          <w:rFonts w:ascii="Arial" w:hAnsi="Arial" w:cs="Arial"/>
          <w:b/>
          <w:bCs/>
        </w:rPr>
        <w:t xml:space="preserve"> Ratios</w:t>
      </w:r>
    </w:p>
    <w:p w14:paraId="4E1274D0" w14:textId="77777777" w:rsidR="00D910C3" w:rsidRPr="00D910C3" w:rsidRDefault="00D910C3" w:rsidP="00D910C3">
      <w:pPr>
        <w:spacing w:line="360" w:lineRule="auto"/>
        <w:jc w:val="both"/>
        <w:rPr>
          <w:rFonts w:ascii="Arial" w:hAnsi="Arial" w:cs="Arial"/>
        </w:rPr>
      </w:pPr>
      <w:r w:rsidRPr="00D910C3">
        <w:rPr>
          <w:rFonts w:ascii="Arial" w:hAnsi="Arial" w:cs="Arial"/>
        </w:rPr>
        <w:t>Los </w:t>
      </w:r>
      <w:proofErr w:type="spellStart"/>
      <w:r w:rsidRPr="00D910C3">
        <w:rPr>
          <w:rFonts w:ascii="Arial" w:hAnsi="Arial" w:cs="Arial"/>
          <w:i/>
          <w:iCs/>
        </w:rPr>
        <w:t>odds</w:t>
      </w:r>
      <w:proofErr w:type="spellEnd"/>
      <w:r w:rsidRPr="00D910C3">
        <w:rPr>
          <w:rFonts w:ascii="Arial" w:hAnsi="Arial" w:cs="Arial"/>
          <w:i/>
          <w:iCs/>
        </w:rPr>
        <w:t xml:space="preserve"> ratios</w:t>
      </w:r>
      <w:r w:rsidRPr="00D910C3">
        <w:rPr>
          <w:rFonts w:ascii="Arial" w:hAnsi="Arial" w:cs="Arial"/>
        </w:rPr>
        <w:t> (OR) obtenidos en el modelo se interpretan como el cambio en la razón de probabilidades (</w:t>
      </w:r>
      <w:proofErr w:type="spellStart"/>
      <w:r w:rsidRPr="00D910C3">
        <w:rPr>
          <w:rFonts w:ascii="Arial" w:hAnsi="Arial" w:cs="Arial"/>
        </w:rPr>
        <w:t>odds</w:t>
      </w:r>
      <w:proofErr w:type="spellEnd"/>
      <w:r w:rsidRPr="00D910C3">
        <w:rPr>
          <w:rFonts w:ascii="Arial" w:hAnsi="Arial" w:cs="Arial"/>
        </w:rPr>
        <w:t>) de ser altamente productivo asociado a un aumento unitario en cada variable predictora. A continuación, se presenta la interpretación aplicada al contexto del teletrabajo en el sector público:</w:t>
      </w:r>
    </w:p>
    <w:p w14:paraId="35183C8C" w14:textId="77777777" w:rsidR="00D910C3" w:rsidRPr="00D910C3" w:rsidRDefault="00D910C3" w:rsidP="00D910C3">
      <w:pPr>
        <w:numPr>
          <w:ilvl w:val="0"/>
          <w:numId w:val="35"/>
        </w:numPr>
        <w:spacing w:line="360" w:lineRule="auto"/>
        <w:jc w:val="both"/>
        <w:rPr>
          <w:rFonts w:ascii="Arial" w:hAnsi="Arial" w:cs="Arial"/>
        </w:rPr>
      </w:pPr>
      <w:r w:rsidRPr="00D910C3">
        <w:rPr>
          <w:rFonts w:ascii="Arial" w:hAnsi="Arial" w:cs="Arial"/>
          <w:b/>
          <w:bCs/>
        </w:rPr>
        <w:t>Días de Teletrabajo (OR = 1.42)</w:t>
      </w:r>
      <w:r w:rsidRPr="00D910C3">
        <w:rPr>
          <w:rFonts w:ascii="Arial" w:hAnsi="Arial" w:cs="Arial"/>
        </w:rPr>
        <w:t>:</w:t>
      </w:r>
    </w:p>
    <w:p w14:paraId="7DD79515"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Interpretación</w:t>
      </w:r>
      <w:r w:rsidRPr="00D910C3">
        <w:rPr>
          <w:rFonts w:ascii="Arial" w:hAnsi="Arial" w:cs="Arial"/>
        </w:rPr>
        <w:t>: Por cada día adicional de teletrabajo por semana, la razón de probabilidades (</w:t>
      </w:r>
      <w:proofErr w:type="spellStart"/>
      <w:r w:rsidRPr="00D910C3">
        <w:rPr>
          <w:rFonts w:ascii="Arial" w:hAnsi="Arial" w:cs="Arial"/>
        </w:rPr>
        <w:t>odds</w:t>
      </w:r>
      <w:proofErr w:type="spellEnd"/>
      <w:r w:rsidRPr="00D910C3">
        <w:rPr>
          <w:rFonts w:ascii="Arial" w:hAnsi="Arial" w:cs="Arial"/>
        </w:rPr>
        <w:t>) de que un funcionario sea altamente productivo aumenta en un 42%.</w:t>
      </w:r>
    </w:p>
    <w:p w14:paraId="527F38BE"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Ejemplo numérico</w:t>
      </w:r>
      <w:r w:rsidRPr="00D910C3">
        <w:rPr>
          <w:rFonts w:ascii="Arial" w:hAnsi="Arial" w:cs="Arial"/>
        </w:rPr>
        <w:t>: Un funcionario que trabaja 3 días remotos tiene 1.42^3 ≈ 2.86 veces mayores </w:t>
      </w:r>
      <w:proofErr w:type="spellStart"/>
      <w:r w:rsidRPr="00D910C3">
        <w:rPr>
          <w:rFonts w:ascii="Arial" w:hAnsi="Arial" w:cs="Arial"/>
          <w:i/>
          <w:iCs/>
        </w:rPr>
        <w:t>odds</w:t>
      </w:r>
      <w:proofErr w:type="spellEnd"/>
      <w:r w:rsidRPr="00D910C3">
        <w:rPr>
          <w:rFonts w:ascii="Arial" w:hAnsi="Arial" w:cs="Arial"/>
        </w:rPr>
        <w:t xml:space="preserve"> de alta productividad que uno que no </w:t>
      </w:r>
      <w:proofErr w:type="spellStart"/>
      <w:proofErr w:type="gramStart"/>
      <w:r w:rsidRPr="00D910C3">
        <w:rPr>
          <w:rFonts w:ascii="Arial" w:hAnsi="Arial" w:cs="Arial"/>
        </w:rPr>
        <w:t>tele-trabaja</w:t>
      </w:r>
      <w:proofErr w:type="spellEnd"/>
      <w:proofErr w:type="gramEnd"/>
      <w:r w:rsidRPr="00D910C3">
        <w:rPr>
          <w:rFonts w:ascii="Arial" w:hAnsi="Arial" w:cs="Arial"/>
        </w:rPr>
        <w:t xml:space="preserve"> (0 días), manteniendo constantes los demás factores.</w:t>
      </w:r>
    </w:p>
    <w:p w14:paraId="75B0C370" w14:textId="77777777" w:rsidR="00D910C3" w:rsidRPr="00D910C3" w:rsidRDefault="00D910C3" w:rsidP="00D910C3">
      <w:pPr>
        <w:numPr>
          <w:ilvl w:val="0"/>
          <w:numId w:val="35"/>
        </w:numPr>
        <w:spacing w:line="360" w:lineRule="auto"/>
        <w:jc w:val="both"/>
        <w:rPr>
          <w:rFonts w:ascii="Arial" w:hAnsi="Arial" w:cs="Arial"/>
        </w:rPr>
      </w:pPr>
      <w:r w:rsidRPr="00D910C3">
        <w:rPr>
          <w:rFonts w:ascii="Arial" w:hAnsi="Arial" w:cs="Arial"/>
          <w:b/>
          <w:bCs/>
        </w:rPr>
        <w:t>Educación Universitaria (OR = 2.59)</w:t>
      </w:r>
      <w:r w:rsidRPr="00D910C3">
        <w:rPr>
          <w:rFonts w:ascii="Arial" w:hAnsi="Arial" w:cs="Arial"/>
        </w:rPr>
        <w:t>:</w:t>
      </w:r>
    </w:p>
    <w:p w14:paraId="1946878A"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Interpretación</w:t>
      </w:r>
      <w:r w:rsidRPr="00D910C3">
        <w:rPr>
          <w:rFonts w:ascii="Arial" w:hAnsi="Arial" w:cs="Arial"/>
        </w:rPr>
        <w:t>: Los funcionarios con educación universitaria tienen 2.59 veces mayores </w:t>
      </w:r>
      <w:proofErr w:type="spellStart"/>
      <w:r w:rsidRPr="00D910C3">
        <w:rPr>
          <w:rFonts w:ascii="Arial" w:hAnsi="Arial" w:cs="Arial"/>
          <w:i/>
          <w:iCs/>
        </w:rPr>
        <w:t>odds</w:t>
      </w:r>
      <w:proofErr w:type="spellEnd"/>
      <w:r w:rsidRPr="00D910C3">
        <w:rPr>
          <w:rFonts w:ascii="Arial" w:hAnsi="Arial" w:cs="Arial"/>
        </w:rPr>
        <w:t> de ser altamente productivos en comparación con aquellos sin este nivel educativo, independientemente de los días de teletrabajo.</w:t>
      </w:r>
    </w:p>
    <w:p w14:paraId="41CA89AE"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Ejemplo numérico</w:t>
      </w:r>
      <w:r w:rsidRPr="00D910C3">
        <w:rPr>
          <w:rFonts w:ascii="Arial" w:hAnsi="Arial" w:cs="Arial"/>
        </w:rPr>
        <w:t>: Si la probabilidad de alta productividad de un técnico es del 50% (</w:t>
      </w:r>
      <w:proofErr w:type="spellStart"/>
      <w:r w:rsidRPr="00D910C3">
        <w:rPr>
          <w:rFonts w:ascii="Arial" w:hAnsi="Arial" w:cs="Arial"/>
        </w:rPr>
        <w:t>odds</w:t>
      </w:r>
      <w:proofErr w:type="spellEnd"/>
      <w:r w:rsidRPr="00D910C3">
        <w:rPr>
          <w:rFonts w:ascii="Arial" w:hAnsi="Arial" w:cs="Arial"/>
        </w:rPr>
        <w:t xml:space="preserve"> = 1), la de un universitario sería de 2.59 / (1 + 2.59) ≈ 72.1%, manteniendo otros factores constantes.</w:t>
      </w:r>
    </w:p>
    <w:p w14:paraId="1210BC2B" w14:textId="77777777" w:rsidR="00D910C3" w:rsidRPr="00D910C3" w:rsidRDefault="00D910C3" w:rsidP="00D910C3">
      <w:pPr>
        <w:numPr>
          <w:ilvl w:val="0"/>
          <w:numId w:val="35"/>
        </w:numPr>
        <w:spacing w:line="360" w:lineRule="auto"/>
        <w:jc w:val="both"/>
        <w:rPr>
          <w:rFonts w:ascii="Arial" w:hAnsi="Arial" w:cs="Arial"/>
        </w:rPr>
      </w:pPr>
      <w:r w:rsidRPr="00D910C3">
        <w:rPr>
          <w:rFonts w:ascii="Arial" w:hAnsi="Arial" w:cs="Arial"/>
          <w:b/>
          <w:bCs/>
        </w:rPr>
        <w:t>Interacción: Días de Teletrabajo × Educación Universitaria (OR = 1.20)</w:t>
      </w:r>
      <w:r w:rsidRPr="00D910C3">
        <w:rPr>
          <w:rFonts w:ascii="Arial" w:hAnsi="Arial" w:cs="Arial"/>
        </w:rPr>
        <w:t>:</w:t>
      </w:r>
    </w:p>
    <w:p w14:paraId="270F7CF0"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Interpretación</w:t>
      </w:r>
      <w:r w:rsidRPr="00D910C3">
        <w:rPr>
          <w:rFonts w:ascii="Arial" w:hAnsi="Arial" w:cs="Arial"/>
        </w:rPr>
        <w:t>: El efecto positivo del teletrabajo es significativamente mayor en funcionarios universitarios. Para ellos, cada día adicional de teletrabajo aumenta los </w:t>
      </w:r>
      <w:proofErr w:type="spellStart"/>
      <w:r w:rsidRPr="00D910C3">
        <w:rPr>
          <w:rFonts w:ascii="Arial" w:hAnsi="Arial" w:cs="Arial"/>
          <w:i/>
          <w:iCs/>
        </w:rPr>
        <w:t>odds</w:t>
      </w:r>
      <w:proofErr w:type="spellEnd"/>
      <w:r w:rsidRPr="00D910C3">
        <w:rPr>
          <w:rFonts w:ascii="Arial" w:hAnsi="Arial" w:cs="Arial"/>
        </w:rPr>
        <w:t> de alta productividad en un 42% (OR base) × 20% (OR interacción) = </w:t>
      </w:r>
      <w:r w:rsidRPr="00D910C3">
        <w:rPr>
          <w:rFonts w:ascii="Arial" w:hAnsi="Arial" w:cs="Arial"/>
          <w:b/>
          <w:bCs/>
        </w:rPr>
        <w:t>70.4%</w:t>
      </w:r>
      <w:r w:rsidRPr="00D910C3">
        <w:rPr>
          <w:rFonts w:ascii="Arial" w:hAnsi="Arial" w:cs="Arial"/>
        </w:rPr>
        <w:t>.</w:t>
      </w:r>
    </w:p>
    <w:p w14:paraId="1838C953"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Ejemplo numérico comparado</w:t>
      </w:r>
      <w:r w:rsidRPr="00D910C3">
        <w:rPr>
          <w:rFonts w:ascii="Arial" w:hAnsi="Arial" w:cs="Arial"/>
        </w:rPr>
        <w:t>:</w:t>
      </w:r>
    </w:p>
    <w:p w14:paraId="5590293A" w14:textId="77777777" w:rsidR="00D910C3" w:rsidRPr="00D910C3" w:rsidRDefault="00D910C3" w:rsidP="00D910C3">
      <w:pPr>
        <w:numPr>
          <w:ilvl w:val="2"/>
          <w:numId w:val="35"/>
        </w:numPr>
        <w:spacing w:line="360" w:lineRule="auto"/>
        <w:jc w:val="both"/>
        <w:rPr>
          <w:rFonts w:ascii="Arial" w:hAnsi="Arial" w:cs="Arial"/>
        </w:rPr>
      </w:pPr>
      <w:r w:rsidRPr="00D910C3">
        <w:rPr>
          <w:rFonts w:ascii="Arial" w:hAnsi="Arial" w:cs="Arial"/>
        </w:rPr>
        <w:lastRenderedPageBreak/>
        <w:t>Para un </w:t>
      </w:r>
      <w:r w:rsidRPr="00D910C3">
        <w:rPr>
          <w:rFonts w:ascii="Arial" w:hAnsi="Arial" w:cs="Arial"/>
          <w:b/>
          <w:bCs/>
        </w:rPr>
        <w:t>no universitario</w:t>
      </w:r>
      <w:r w:rsidRPr="00D910C3">
        <w:rPr>
          <w:rFonts w:ascii="Arial" w:hAnsi="Arial" w:cs="Arial"/>
        </w:rPr>
        <w:t xml:space="preserve">: 1 día extra de teletrabajo → </w:t>
      </w:r>
      <w:proofErr w:type="spellStart"/>
      <w:r w:rsidRPr="00D910C3">
        <w:rPr>
          <w:rFonts w:ascii="Arial" w:hAnsi="Arial" w:cs="Arial"/>
        </w:rPr>
        <w:t>odds</w:t>
      </w:r>
      <w:proofErr w:type="spellEnd"/>
      <w:r w:rsidRPr="00D910C3">
        <w:rPr>
          <w:rFonts w:ascii="Arial" w:hAnsi="Arial" w:cs="Arial"/>
        </w:rPr>
        <w:t xml:space="preserve"> aumentan 42%.</w:t>
      </w:r>
    </w:p>
    <w:p w14:paraId="168A7921" w14:textId="77777777" w:rsidR="00D910C3" w:rsidRPr="00D910C3" w:rsidRDefault="00D910C3" w:rsidP="00D910C3">
      <w:pPr>
        <w:numPr>
          <w:ilvl w:val="2"/>
          <w:numId w:val="35"/>
        </w:numPr>
        <w:spacing w:line="360" w:lineRule="auto"/>
        <w:jc w:val="both"/>
        <w:rPr>
          <w:rFonts w:ascii="Arial" w:hAnsi="Arial" w:cs="Arial"/>
        </w:rPr>
      </w:pPr>
      <w:r w:rsidRPr="00D910C3">
        <w:rPr>
          <w:rFonts w:ascii="Arial" w:hAnsi="Arial" w:cs="Arial"/>
        </w:rPr>
        <w:t>Para un </w:t>
      </w:r>
      <w:r w:rsidRPr="00D910C3">
        <w:rPr>
          <w:rFonts w:ascii="Arial" w:hAnsi="Arial" w:cs="Arial"/>
          <w:b/>
          <w:bCs/>
        </w:rPr>
        <w:t>universitario</w:t>
      </w:r>
      <w:r w:rsidRPr="00D910C3">
        <w:rPr>
          <w:rFonts w:ascii="Arial" w:hAnsi="Arial" w:cs="Arial"/>
        </w:rPr>
        <w:t xml:space="preserve">: 1 día extra → </w:t>
      </w:r>
      <w:proofErr w:type="spellStart"/>
      <w:r w:rsidRPr="00D910C3">
        <w:rPr>
          <w:rFonts w:ascii="Arial" w:hAnsi="Arial" w:cs="Arial"/>
        </w:rPr>
        <w:t>odds</w:t>
      </w:r>
      <w:proofErr w:type="spellEnd"/>
      <w:r w:rsidRPr="00D910C3">
        <w:rPr>
          <w:rFonts w:ascii="Arial" w:hAnsi="Arial" w:cs="Arial"/>
        </w:rPr>
        <w:t xml:space="preserve"> aumentan 70.4%.</w:t>
      </w:r>
    </w:p>
    <w:p w14:paraId="59559F68" w14:textId="77777777" w:rsidR="00D910C3" w:rsidRPr="00D910C3" w:rsidRDefault="00D910C3" w:rsidP="00D910C3">
      <w:pPr>
        <w:numPr>
          <w:ilvl w:val="0"/>
          <w:numId w:val="35"/>
        </w:numPr>
        <w:spacing w:line="360" w:lineRule="auto"/>
        <w:jc w:val="both"/>
        <w:rPr>
          <w:rFonts w:ascii="Arial" w:hAnsi="Arial" w:cs="Arial"/>
        </w:rPr>
      </w:pPr>
      <w:r w:rsidRPr="00D910C3">
        <w:rPr>
          <w:rFonts w:ascii="Arial" w:hAnsi="Arial" w:cs="Arial"/>
          <w:b/>
          <w:bCs/>
        </w:rPr>
        <w:t>Edad (OR = 0.98)</w:t>
      </w:r>
      <w:r w:rsidRPr="00D910C3">
        <w:rPr>
          <w:rFonts w:ascii="Arial" w:hAnsi="Arial" w:cs="Arial"/>
        </w:rPr>
        <w:t>:</w:t>
      </w:r>
    </w:p>
    <w:p w14:paraId="44D1505E"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Interpretación</w:t>
      </w:r>
      <w:r w:rsidRPr="00D910C3">
        <w:rPr>
          <w:rFonts w:ascii="Arial" w:hAnsi="Arial" w:cs="Arial"/>
        </w:rPr>
        <w:t>: Por cada año adicional de edad, los </w:t>
      </w:r>
      <w:proofErr w:type="spellStart"/>
      <w:r w:rsidRPr="00D910C3">
        <w:rPr>
          <w:rFonts w:ascii="Arial" w:hAnsi="Arial" w:cs="Arial"/>
          <w:i/>
          <w:iCs/>
        </w:rPr>
        <w:t>odds</w:t>
      </w:r>
      <w:proofErr w:type="spellEnd"/>
      <w:r w:rsidRPr="00D910C3">
        <w:rPr>
          <w:rFonts w:ascii="Arial" w:hAnsi="Arial" w:cs="Arial"/>
        </w:rPr>
        <w:t> de alta productividad disminuyen en un 2%.</w:t>
      </w:r>
    </w:p>
    <w:p w14:paraId="2D04FC18"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Ejemplo</w:t>
      </w:r>
      <w:r w:rsidRPr="00D910C3">
        <w:rPr>
          <w:rFonts w:ascii="Arial" w:hAnsi="Arial" w:cs="Arial"/>
        </w:rPr>
        <w:t xml:space="preserve">: Un funcionario de 30 años tiene </w:t>
      </w:r>
      <w:proofErr w:type="spellStart"/>
      <w:r w:rsidRPr="00D910C3">
        <w:rPr>
          <w:rFonts w:ascii="Arial" w:hAnsi="Arial" w:cs="Arial"/>
        </w:rPr>
        <w:t>odds</w:t>
      </w:r>
      <w:proofErr w:type="spellEnd"/>
      <w:r w:rsidRPr="00D910C3">
        <w:rPr>
          <w:rFonts w:ascii="Arial" w:hAnsi="Arial" w:cs="Arial"/>
        </w:rPr>
        <w:t xml:space="preserve"> de alta productividad ≈ 1.5 veces mayores que uno de 50 años, </w:t>
      </w:r>
      <w:proofErr w:type="spellStart"/>
      <w:r w:rsidRPr="00D910C3">
        <w:rPr>
          <w:rFonts w:ascii="Arial" w:hAnsi="Arial" w:cs="Arial"/>
          <w:i/>
          <w:iCs/>
        </w:rPr>
        <w:t>ceteris</w:t>
      </w:r>
      <w:proofErr w:type="spellEnd"/>
      <w:r w:rsidRPr="00D910C3">
        <w:rPr>
          <w:rFonts w:ascii="Arial" w:hAnsi="Arial" w:cs="Arial"/>
          <w:i/>
          <w:iCs/>
        </w:rPr>
        <w:t xml:space="preserve"> </w:t>
      </w:r>
      <w:proofErr w:type="spellStart"/>
      <w:r w:rsidRPr="00D910C3">
        <w:rPr>
          <w:rFonts w:ascii="Arial" w:hAnsi="Arial" w:cs="Arial"/>
          <w:i/>
          <w:iCs/>
        </w:rPr>
        <w:t>paribus</w:t>
      </w:r>
      <w:proofErr w:type="spellEnd"/>
      <w:r w:rsidRPr="00D910C3">
        <w:rPr>
          <w:rFonts w:ascii="Arial" w:hAnsi="Arial" w:cs="Arial"/>
        </w:rPr>
        <w:t>.</w:t>
      </w:r>
    </w:p>
    <w:p w14:paraId="3347E54F" w14:textId="77777777" w:rsidR="00D910C3" w:rsidRPr="00D910C3" w:rsidRDefault="00D910C3" w:rsidP="00D910C3">
      <w:pPr>
        <w:numPr>
          <w:ilvl w:val="0"/>
          <w:numId w:val="35"/>
        </w:numPr>
        <w:spacing w:line="360" w:lineRule="auto"/>
        <w:jc w:val="both"/>
        <w:rPr>
          <w:rFonts w:ascii="Arial" w:hAnsi="Arial" w:cs="Arial"/>
        </w:rPr>
      </w:pPr>
      <w:r w:rsidRPr="00D910C3">
        <w:rPr>
          <w:rFonts w:ascii="Arial" w:hAnsi="Arial" w:cs="Arial"/>
          <w:b/>
          <w:bCs/>
        </w:rPr>
        <w:t>Género (OR = 1.22)</w:t>
      </w:r>
      <w:r w:rsidRPr="00D910C3">
        <w:rPr>
          <w:rFonts w:ascii="Arial" w:hAnsi="Arial" w:cs="Arial"/>
        </w:rPr>
        <w:t>:</w:t>
      </w:r>
    </w:p>
    <w:p w14:paraId="6834D134" w14:textId="77777777" w:rsidR="00D910C3" w:rsidRPr="00D910C3" w:rsidRDefault="00D910C3" w:rsidP="00D910C3">
      <w:pPr>
        <w:numPr>
          <w:ilvl w:val="1"/>
          <w:numId w:val="35"/>
        </w:numPr>
        <w:tabs>
          <w:tab w:val="num" w:pos="1440"/>
        </w:tabs>
        <w:spacing w:line="360" w:lineRule="auto"/>
        <w:jc w:val="both"/>
        <w:rPr>
          <w:rFonts w:ascii="Arial" w:hAnsi="Arial" w:cs="Arial"/>
        </w:rPr>
      </w:pPr>
      <w:r w:rsidRPr="00D910C3">
        <w:rPr>
          <w:rFonts w:ascii="Arial" w:hAnsi="Arial" w:cs="Arial"/>
          <w:b/>
          <w:bCs/>
        </w:rPr>
        <w:t>Interpretación</w:t>
      </w:r>
      <w:r w:rsidRPr="00D910C3">
        <w:rPr>
          <w:rFonts w:ascii="Arial" w:hAnsi="Arial" w:cs="Arial"/>
        </w:rPr>
        <w:t>: Las mujeres tienen 1.22 veces mayores </w:t>
      </w:r>
      <w:proofErr w:type="spellStart"/>
      <w:r w:rsidRPr="00D910C3">
        <w:rPr>
          <w:rFonts w:ascii="Arial" w:hAnsi="Arial" w:cs="Arial"/>
          <w:i/>
          <w:iCs/>
        </w:rPr>
        <w:t>odds</w:t>
      </w:r>
      <w:proofErr w:type="spellEnd"/>
      <w:r w:rsidRPr="00D910C3">
        <w:rPr>
          <w:rFonts w:ascii="Arial" w:hAnsi="Arial" w:cs="Arial"/>
        </w:rPr>
        <w:t> de alta productividad que los hombres, aunque este efecto no fue estadísticamente significativo (p=0.420).</w:t>
      </w:r>
    </w:p>
    <w:p w14:paraId="4D4A98FF" w14:textId="77777777" w:rsidR="00D910C3" w:rsidRPr="00D910C3" w:rsidRDefault="00D910C3" w:rsidP="00D910C3">
      <w:pPr>
        <w:spacing w:line="360" w:lineRule="auto"/>
        <w:jc w:val="both"/>
        <w:rPr>
          <w:rFonts w:ascii="Arial" w:hAnsi="Arial" w:cs="Arial"/>
          <w:b/>
          <w:bCs/>
        </w:rPr>
      </w:pPr>
      <w:r w:rsidRPr="00D910C3">
        <w:rPr>
          <w:rFonts w:ascii="Arial" w:hAnsi="Arial" w:cs="Arial"/>
          <w:b/>
          <w:bCs/>
        </w:rPr>
        <w:t>Recomendaciones Específicas para Tomadores de Decisión</w:t>
      </w:r>
    </w:p>
    <w:p w14:paraId="41DC5810" w14:textId="77777777" w:rsidR="00D910C3" w:rsidRPr="00D910C3" w:rsidRDefault="00D910C3" w:rsidP="00D910C3">
      <w:pPr>
        <w:spacing w:line="360" w:lineRule="auto"/>
        <w:jc w:val="both"/>
        <w:rPr>
          <w:rFonts w:ascii="Arial" w:hAnsi="Arial" w:cs="Arial"/>
        </w:rPr>
      </w:pPr>
      <w:r w:rsidRPr="00D910C3">
        <w:rPr>
          <w:rFonts w:ascii="Arial" w:hAnsi="Arial" w:cs="Arial"/>
        </w:rPr>
        <w:t>Basados en los hallazgos, se proponen las siguientes recomendaciones concretas para la gestión de recursos humanos en el sector público:</w:t>
      </w:r>
    </w:p>
    <w:p w14:paraId="3D2B2718" w14:textId="77777777" w:rsidR="00D910C3" w:rsidRPr="00D910C3" w:rsidRDefault="00D910C3" w:rsidP="00D910C3">
      <w:pPr>
        <w:numPr>
          <w:ilvl w:val="0"/>
          <w:numId w:val="36"/>
        </w:numPr>
        <w:spacing w:line="360" w:lineRule="auto"/>
        <w:jc w:val="both"/>
        <w:rPr>
          <w:rFonts w:ascii="Arial" w:hAnsi="Arial" w:cs="Arial"/>
        </w:rPr>
      </w:pPr>
      <w:r w:rsidRPr="00D910C3">
        <w:rPr>
          <w:rFonts w:ascii="Arial" w:hAnsi="Arial" w:cs="Arial"/>
          <w:b/>
          <w:bCs/>
        </w:rPr>
        <w:t>Asignación Diferenciada de Días de Teletrabajo</w:t>
      </w:r>
      <w:r w:rsidRPr="00D910C3">
        <w:rPr>
          <w:rFonts w:ascii="Arial" w:hAnsi="Arial" w:cs="Arial"/>
        </w:rPr>
        <w:t>:</w:t>
      </w:r>
    </w:p>
    <w:p w14:paraId="3B878FEC" w14:textId="77777777" w:rsidR="00D910C3" w:rsidRPr="00D910C3" w:rsidRDefault="00D910C3" w:rsidP="00D910C3">
      <w:pPr>
        <w:numPr>
          <w:ilvl w:val="1"/>
          <w:numId w:val="36"/>
        </w:numPr>
        <w:tabs>
          <w:tab w:val="num" w:pos="1440"/>
        </w:tabs>
        <w:spacing w:line="360" w:lineRule="auto"/>
        <w:jc w:val="both"/>
        <w:rPr>
          <w:rFonts w:ascii="Arial" w:hAnsi="Arial" w:cs="Arial"/>
        </w:rPr>
      </w:pPr>
      <w:r w:rsidRPr="00D910C3">
        <w:rPr>
          <w:rFonts w:ascii="Arial" w:hAnsi="Arial" w:cs="Arial"/>
          <w:b/>
          <w:bCs/>
        </w:rPr>
        <w:t>Recomendación</w:t>
      </w:r>
      <w:r w:rsidRPr="00D910C3">
        <w:rPr>
          <w:rFonts w:ascii="Arial" w:hAnsi="Arial" w:cs="Arial"/>
        </w:rPr>
        <w:t>: Priorizar la asignación de días de teletrabajo a funcionarios con educación universitaria, donde el impacto en productividad es significativamente mayor.</w:t>
      </w:r>
    </w:p>
    <w:p w14:paraId="5AA92028" w14:textId="77777777" w:rsidR="00D910C3" w:rsidRPr="00D910C3" w:rsidRDefault="00D910C3" w:rsidP="00D910C3">
      <w:pPr>
        <w:numPr>
          <w:ilvl w:val="1"/>
          <w:numId w:val="36"/>
        </w:numPr>
        <w:tabs>
          <w:tab w:val="num" w:pos="1440"/>
        </w:tabs>
        <w:spacing w:line="360" w:lineRule="auto"/>
        <w:jc w:val="both"/>
        <w:rPr>
          <w:rFonts w:ascii="Arial" w:hAnsi="Arial" w:cs="Arial"/>
        </w:rPr>
      </w:pPr>
      <w:r w:rsidRPr="00D910C3">
        <w:rPr>
          <w:rFonts w:ascii="Arial" w:hAnsi="Arial" w:cs="Arial"/>
          <w:b/>
          <w:bCs/>
        </w:rPr>
        <w:t>Implementación</w:t>
      </w:r>
      <w:r w:rsidRPr="00D910C3">
        <w:rPr>
          <w:rFonts w:ascii="Arial" w:hAnsi="Arial" w:cs="Arial"/>
        </w:rPr>
        <w:t>: Establecer políticas que permitan 3-4 días de teletrabajo para personal universitario y 1-2 días para no universitarios, complementando con capacitación digital para este último grupo.</w:t>
      </w:r>
    </w:p>
    <w:p w14:paraId="25438D0D" w14:textId="77777777" w:rsidR="00D910C3" w:rsidRPr="00D910C3" w:rsidRDefault="00D910C3" w:rsidP="00D910C3">
      <w:pPr>
        <w:numPr>
          <w:ilvl w:val="0"/>
          <w:numId w:val="36"/>
        </w:numPr>
        <w:spacing w:line="360" w:lineRule="auto"/>
        <w:jc w:val="both"/>
        <w:rPr>
          <w:rFonts w:ascii="Arial" w:hAnsi="Arial" w:cs="Arial"/>
        </w:rPr>
      </w:pPr>
      <w:r w:rsidRPr="00D910C3">
        <w:rPr>
          <w:rFonts w:ascii="Arial" w:hAnsi="Arial" w:cs="Arial"/>
          <w:b/>
          <w:bCs/>
        </w:rPr>
        <w:t>Programas de Capacitación Digital</w:t>
      </w:r>
      <w:r w:rsidRPr="00D910C3">
        <w:rPr>
          <w:rFonts w:ascii="Arial" w:hAnsi="Arial" w:cs="Arial"/>
        </w:rPr>
        <w:t>:</w:t>
      </w:r>
    </w:p>
    <w:p w14:paraId="2B87027E" w14:textId="77777777" w:rsidR="00D910C3" w:rsidRPr="00D910C3" w:rsidRDefault="00D910C3" w:rsidP="00D910C3">
      <w:pPr>
        <w:numPr>
          <w:ilvl w:val="1"/>
          <w:numId w:val="36"/>
        </w:numPr>
        <w:tabs>
          <w:tab w:val="num" w:pos="1440"/>
        </w:tabs>
        <w:spacing w:line="360" w:lineRule="auto"/>
        <w:jc w:val="both"/>
        <w:rPr>
          <w:rFonts w:ascii="Arial" w:hAnsi="Arial" w:cs="Arial"/>
        </w:rPr>
      </w:pPr>
      <w:r w:rsidRPr="00D910C3">
        <w:rPr>
          <w:rFonts w:ascii="Arial" w:hAnsi="Arial" w:cs="Arial"/>
          <w:b/>
          <w:bCs/>
        </w:rPr>
        <w:t>Recomendación</w:t>
      </w:r>
      <w:r w:rsidRPr="00D910C3">
        <w:rPr>
          <w:rFonts w:ascii="Arial" w:hAnsi="Arial" w:cs="Arial"/>
        </w:rPr>
        <w:t xml:space="preserve">: Desarrollar programas de entrenamiento en herramientas digitales y gestión del tiempo dirigidos a funcionarios sin </w:t>
      </w:r>
      <w:r w:rsidRPr="00D910C3">
        <w:rPr>
          <w:rFonts w:ascii="Arial" w:hAnsi="Arial" w:cs="Arial"/>
        </w:rPr>
        <w:lastRenderedPageBreak/>
        <w:t>educación universitaria, para potenciar su productividad en modalidad remota.</w:t>
      </w:r>
    </w:p>
    <w:p w14:paraId="75775C49" w14:textId="77777777" w:rsidR="00D910C3" w:rsidRPr="00D910C3" w:rsidRDefault="00D910C3" w:rsidP="00D910C3">
      <w:pPr>
        <w:numPr>
          <w:ilvl w:val="1"/>
          <w:numId w:val="36"/>
        </w:numPr>
        <w:tabs>
          <w:tab w:val="num" w:pos="1440"/>
        </w:tabs>
        <w:spacing w:line="360" w:lineRule="auto"/>
        <w:jc w:val="both"/>
        <w:rPr>
          <w:rFonts w:ascii="Arial" w:hAnsi="Arial" w:cs="Arial"/>
        </w:rPr>
      </w:pPr>
      <w:r w:rsidRPr="00D910C3">
        <w:rPr>
          <w:rFonts w:ascii="Arial" w:hAnsi="Arial" w:cs="Arial"/>
          <w:b/>
          <w:bCs/>
        </w:rPr>
        <w:t>Implementación</w:t>
      </w:r>
      <w:r w:rsidRPr="00D910C3">
        <w:rPr>
          <w:rFonts w:ascii="Arial" w:hAnsi="Arial" w:cs="Arial"/>
        </w:rPr>
        <w:t>: Colaborar con la Subsecretaría de Telecomunicaciones o OTIC para diseñar cursos certificados enfocados en competencias digitales aplicadas al teletrabajo.</w:t>
      </w:r>
    </w:p>
    <w:p w14:paraId="7F1C456A" w14:textId="77777777" w:rsidR="00D910C3" w:rsidRPr="00D910C3" w:rsidRDefault="00D910C3" w:rsidP="00D910C3">
      <w:pPr>
        <w:numPr>
          <w:ilvl w:val="0"/>
          <w:numId w:val="36"/>
        </w:numPr>
        <w:spacing w:line="360" w:lineRule="auto"/>
        <w:jc w:val="both"/>
        <w:rPr>
          <w:rFonts w:ascii="Arial" w:hAnsi="Arial" w:cs="Arial"/>
        </w:rPr>
      </w:pPr>
      <w:r w:rsidRPr="00D910C3">
        <w:rPr>
          <w:rFonts w:ascii="Arial" w:hAnsi="Arial" w:cs="Arial"/>
          <w:b/>
          <w:bCs/>
        </w:rPr>
        <w:t>Diseño de Políticas Segmentadas por Edad</w:t>
      </w:r>
      <w:r w:rsidRPr="00D910C3">
        <w:rPr>
          <w:rFonts w:ascii="Arial" w:hAnsi="Arial" w:cs="Arial"/>
        </w:rPr>
        <w:t>:</w:t>
      </w:r>
    </w:p>
    <w:p w14:paraId="7A9FFF19" w14:textId="77777777" w:rsidR="00D910C3" w:rsidRPr="00D910C3" w:rsidRDefault="00D910C3" w:rsidP="00D910C3">
      <w:pPr>
        <w:numPr>
          <w:ilvl w:val="1"/>
          <w:numId w:val="36"/>
        </w:numPr>
        <w:tabs>
          <w:tab w:val="num" w:pos="1440"/>
        </w:tabs>
        <w:spacing w:line="360" w:lineRule="auto"/>
        <w:jc w:val="both"/>
        <w:rPr>
          <w:rFonts w:ascii="Arial" w:hAnsi="Arial" w:cs="Arial"/>
        </w:rPr>
      </w:pPr>
      <w:r w:rsidRPr="00D910C3">
        <w:rPr>
          <w:rFonts w:ascii="Arial" w:hAnsi="Arial" w:cs="Arial"/>
          <w:b/>
          <w:bCs/>
        </w:rPr>
        <w:t>Recomendación</w:t>
      </w:r>
      <w:r w:rsidRPr="00D910C3">
        <w:rPr>
          <w:rFonts w:ascii="Arial" w:hAnsi="Arial" w:cs="Arial"/>
        </w:rPr>
        <w:t>: Implementar mentorías inversas donde funcionarios jóvenes apoyen a mayores en el uso de tecnologías para teletrabajo, mitigando el efecto negativo de la edad.</w:t>
      </w:r>
    </w:p>
    <w:p w14:paraId="670A4B34" w14:textId="77777777" w:rsidR="00D910C3" w:rsidRPr="00D910C3" w:rsidRDefault="00D910C3" w:rsidP="00D910C3">
      <w:pPr>
        <w:numPr>
          <w:ilvl w:val="1"/>
          <w:numId w:val="36"/>
        </w:numPr>
        <w:tabs>
          <w:tab w:val="num" w:pos="1440"/>
        </w:tabs>
        <w:spacing w:line="360" w:lineRule="auto"/>
        <w:jc w:val="both"/>
        <w:rPr>
          <w:rFonts w:ascii="Arial" w:hAnsi="Arial" w:cs="Arial"/>
        </w:rPr>
      </w:pPr>
      <w:r w:rsidRPr="00D910C3">
        <w:rPr>
          <w:rFonts w:ascii="Arial" w:hAnsi="Arial" w:cs="Arial"/>
          <w:b/>
          <w:bCs/>
        </w:rPr>
        <w:t>Implementación</w:t>
      </w:r>
      <w:r w:rsidRPr="00D910C3">
        <w:rPr>
          <w:rFonts w:ascii="Arial" w:hAnsi="Arial" w:cs="Arial"/>
        </w:rPr>
        <w:t>: Crear un programa piloto en servicios públicos con alta densidad de funcionarios mayores de 45 años, midiendo impacto en productividad después de 6 meses.</w:t>
      </w:r>
    </w:p>
    <w:p w14:paraId="10F4041A" w14:textId="77777777" w:rsidR="00D910C3" w:rsidRPr="00D910C3" w:rsidRDefault="00D910C3" w:rsidP="00D910C3">
      <w:pPr>
        <w:numPr>
          <w:ilvl w:val="0"/>
          <w:numId w:val="36"/>
        </w:numPr>
        <w:spacing w:line="360" w:lineRule="auto"/>
        <w:jc w:val="both"/>
        <w:rPr>
          <w:rFonts w:ascii="Arial" w:hAnsi="Arial" w:cs="Arial"/>
        </w:rPr>
      </w:pPr>
      <w:r w:rsidRPr="00D910C3">
        <w:rPr>
          <w:rFonts w:ascii="Arial" w:hAnsi="Arial" w:cs="Arial"/>
          <w:b/>
          <w:bCs/>
        </w:rPr>
        <w:t>Sistema de Monitoreo Predictivo</w:t>
      </w:r>
      <w:r w:rsidRPr="00D910C3">
        <w:rPr>
          <w:rFonts w:ascii="Arial" w:hAnsi="Arial" w:cs="Arial"/>
        </w:rPr>
        <w:t>:</w:t>
      </w:r>
    </w:p>
    <w:p w14:paraId="7C4E16BC" w14:textId="77777777" w:rsidR="00D910C3" w:rsidRPr="00D910C3" w:rsidRDefault="00D910C3" w:rsidP="00D910C3">
      <w:pPr>
        <w:spacing w:line="360" w:lineRule="auto"/>
        <w:ind w:left="1080"/>
        <w:jc w:val="both"/>
        <w:rPr>
          <w:rFonts w:ascii="Arial" w:hAnsi="Arial" w:cs="Arial"/>
        </w:rPr>
      </w:pPr>
      <w:r w:rsidRPr="00D910C3">
        <w:rPr>
          <w:rFonts w:ascii="Arial" w:hAnsi="Arial" w:cs="Arial"/>
          <w:b/>
          <w:bCs/>
        </w:rPr>
        <w:t>Recomendación</w:t>
      </w:r>
      <w:r w:rsidRPr="00D910C3">
        <w:rPr>
          <w:rFonts w:ascii="Arial" w:hAnsi="Arial" w:cs="Arial"/>
        </w:rPr>
        <w:t>: Utilizar el modelo logístico como herramienta de predicción para identificar funcionarios con riesgo de baja productividad en modalidad híbrida.</w:t>
      </w:r>
    </w:p>
    <w:p w14:paraId="5ACB1A77" w14:textId="77777777" w:rsidR="00D910C3" w:rsidRPr="00D910C3" w:rsidRDefault="00D910C3" w:rsidP="00D910C3">
      <w:pPr>
        <w:numPr>
          <w:ilvl w:val="1"/>
          <w:numId w:val="36"/>
        </w:numPr>
        <w:tabs>
          <w:tab w:val="num" w:pos="1440"/>
        </w:tabs>
        <w:spacing w:line="360" w:lineRule="auto"/>
        <w:jc w:val="both"/>
        <w:rPr>
          <w:rFonts w:ascii="Arial" w:hAnsi="Arial" w:cs="Arial"/>
        </w:rPr>
      </w:pPr>
      <w:r w:rsidRPr="00D910C3">
        <w:rPr>
          <w:rFonts w:ascii="Arial" w:hAnsi="Arial" w:cs="Arial"/>
          <w:b/>
          <w:bCs/>
        </w:rPr>
        <w:t>Implementación</w:t>
      </w:r>
      <w:r w:rsidRPr="00D910C3">
        <w:rPr>
          <w:rFonts w:ascii="Arial" w:hAnsi="Arial" w:cs="Arial"/>
        </w:rPr>
        <w:t xml:space="preserve">: Desarrollar un </w:t>
      </w:r>
      <w:proofErr w:type="spellStart"/>
      <w:r w:rsidRPr="00D910C3">
        <w:rPr>
          <w:rFonts w:ascii="Arial" w:hAnsi="Arial" w:cs="Arial"/>
        </w:rPr>
        <w:t>dashboard</w:t>
      </w:r>
      <w:proofErr w:type="spellEnd"/>
      <w:r w:rsidRPr="00D910C3">
        <w:rPr>
          <w:rFonts w:ascii="Arial" w:hAnsi="Arial" w:cs="Arial"/>
        </w:rPr>
        <w:t xml:space="preserve"> interactivo que, ingresando días de teletrabajo, educación y edad, estime la probabilidad de alta productividad y sugiera intervenciones personalizadas.</w:t>
      </w:r>
    </w:p>
    <w:p w14:paraId="3CC31DEC" w14:textId="77777777" w:rsidR="00D910C3" w:rsidRPr="00D910C3" w:rsidRDefault="00D910C3" w:rsidP="00D910C3">
      <w:pPr>
        <w:spacing w:line="360" w:lineRule="auto"/>
        <w:jc w:val="both"/>
        <w:rPr>
          <w:rFonts w:ascii="Arial" w:hAnsi="Arial" w:cs="Arial"/>
          <w:b/>
          <w:bCs/>
        </w:rPr>
      </w:pPr>
      <w:r w:rsidRPr="00D910C3">
        <w:rPr>
          <w:rFonts w:ascii="Arial" w:hAnsi="Arial" w:cs="Arial"/>
          <w:b/>
          <w:bCs/>
        </w:rPr>
        <w:t>Comunicación de la Capacidad Predictiva a Audiencias No Técnicas</w:t>
      </w:r>
    </w:p>
    <w:p w14:paraId="245FC6A5" w14:textId="77777777" w:rsidR="00D910C3" w:rsidRPr="00D910C3" w:rsidRDefault="00D910C3" w:rsidP="00D910C3">
      <w:pPr>
        <w:spacing w:line="360" w:lineRule="auto"/>
        <w:jc w:val="both"/>
        <w:rPr>
          <w:rFonts w:ascii="Arial" w:hAnsi="Arial" w:cs="Arial"/>
        </w:rPr>
      </w:pPr>
      <w:r w:rsidRPr="00D910C3">
        <w:rPr>
          <w:rFonts w:ascii="Arial" w:hAnsi="Arial" w:cs="Arial"/>
        </w:rPr>
        <w:t>Para transmitir efectivamente la utilidad del modelo a gestores públicos y autoridades:</w:t>
      </w:r>
    </w:p>
    <w:p w14:paraId="09546E9A" w14:textId="77777777" w:rsidR="00D910C3" w:rsidRPr="00D910C3" w:rsidRDefault="00D910C3" w:rsidP="00D910C3">
      <w:pPr>
        <w:numPr>
          <w:ilvl w:val="0"/>
          <w:numId w:val="37"/>
        </w:numPr>
        <w:spacing w:line="360" w:lineRule="auto"/>
        <w:jc w:val="both"/>
        <w:rPr>
          <w:rFonts w:ascii="Arial" w:hAnsi="Arial" w:cs="Arial"/>
        </w:rPr>
      </w:pPr>
      <w:r w:rsidRPr="00D910C3">
        <w:rPr>
          <w:rFonts w:ascii="Arial" w:hAnsi="Arial" w:cs="Arial"/>
          <w:b/>
          <w:bCs/>
        </w:rPr>
        <w:t>Lenguaje Simple y Ejemplos Concretos</w:t>
      </w:r>
      <w:r w:rsidRPr="00D910C3">
        <w:rPr>
          <w:rFonts w:ascii="Arial" w:hAnsi="Arial" w:cs="Arial"/>
        </w:rPr>
        <w:t>:</w:t>
      </w:r>
    </w:p>
    <w:p w14:paraId="0723C870" w14:textId="77777777" w:rsidR="00D910C3" w:rsidRPr="00D910C3" w:rsidRDefault="00D910C3" w:rsidP="00D910C3">
      <w:pPr>
        <w:numPr>
          <w:ilvl w:val="1"/>
          <w:numId w:val="37"/>
        </w:numPr>
        <w:spacing w:line="360" w:lineRule="auto"/>
        <w:jc w:val="both"/>
        <w:rPr>
          <w:rFonts w:ascii="Arial" w:hAnsi="Arial" w:cs="Arial"/>
        </w:rPr>
      </w:pPr>
      <w:r w:rsidRPr="00D910C3">
        <w:rPr>
          <w:rFonts w:ascii="Arial" w:hAnsi="Arial" w:cs="Arial"/>
          <w:i/>
          <w:iCs/>
        </w:rPr>
        <w:t>Ejemplo</w:t>
      </w:r>
      <w:r w:rsidRPr="00D910C3">
        <w:rPr>
          <w:rFonts w:ascii="Arial" w:hAnsi="Arial" w:cs="Arial"/>
        </w:rPr>
        <w:t>: "De cada 10 funcionarios universitarios que trabajan 4 días remotos, nuestro modelo predice que 8 alcanzarán alta productividad, comparado con 5 de cada 10 que trabajan totalmente presenciales".</w:t>
      </w:r>
    </w:p>
    <w:p w14:paraId="02CD36E6" w14:textId="77777777" w:rsidR="00D910C3" w:rsidRPr="00D910C3" w:rsidRDefault="00D910C3" w:rsidP="00D910C3">
      <w:pPr>
        <w:numPr>
          <w:ilvl w:val="0"/>
          <w:numId w:val="37"/>
        </w:numPr>
        <w:spacing w:line="360" w:lineRule="auto"/>
        <w:jc w:val="both"/>
        <w:rPr>
          <w:rFonts w:ascii="Arial" w:hAnsi="Arial" w:cs="Arial"/>
        </w:rPr>
      </w:pPr>
      <w:r w:rsidRPr="00D910C3">
        <w:rPr>
          <w:rFonts w:ascii="Arial" w:hAnsi="Arial" w:cs="Arial"/>
          <w:b/>
          <w:bCs/>
        </w:rPr>
        <w:lastRenderedPageBreak/>
        <w:t>Visualización Intuitiva</w:t>
      </w:r>
      <w:r w:rsidRPr="00D910C3">
        <w:rPr>
          <w:rFonts w:ascii="Arial" w:hAnsi="Arial" w:cs="Arial"/>
        </w:rPr>
        <w:t>:</w:t>
      </w:r>
    </w:p>
    <w:p w14:paraId="15BFD09A" w14:textId="77777777" w:rsidR="00D910C3" w:rsidRPr="00D910C3" w:rsidRDefault="00D910C3" w:rsidP="00D910C3">
      <w:pPr>
        <w:numPr>
          <w:ilvl w:val="1"/>
          <w:numId w:val="37"/>
        </w:numPr>
        <w:spacing w:line="360" w:lineRule="auto"/>
        <w:jc w:val="both"/>
        <w:rPr>
          <w:rFonts w:ascii="Arial" w:hAnsi="Arial" w:cs="Arial"/>
        </w:rPr>
      </w:pPr>
      <w:r w:rsidRPr="00D910C3">
        <w:rPr>
          <w:rFonts w:ascii="Arial" w:hAnsi="Arial" w:cs="Arial"/>
          <w:b/>
          <w:bCs/>
        </w:rPr>
        <w:t>Gráfico de probabilidades</w:t>
      </w:r>
      <w:r w:rsidRPr="00D910C3">
        <w:rPr>
          <w:rFonts w:ascii="Arial" w:hAnsi="Arial" w:cs="Arial"/>
        </w:rPr>
        <w:t>: Mostrar cómo aumenta la probabilidad de alta productividad con más días de teletrabajo, diferenciando por educación universitaria vs. no universitaria.</w:t>
      </w:r>
    </w:p>
    <w:p w14:paraId="7AB25C84" w14:textId="77777777" w:rsidR="00D910C3" w:rsidRPr="00D910C3" w:rsidRDefault="00D910C3" w:rsidP="00D910C3">
      <w:pPr>
        <w:numPr>
          <w:ilvl w:val="1"/>
          <w:numId w:val="37"/>
        </w:numPr>
        <w:spacing w:line="360" w:lineRule="auto"/>
        <w:jc w:val="both"/>
        <w:rPr>
          <w:rFonts w:ascii="Arial" w:hAnsi="Arial" w:cs="Arial"/>
        </w:rPr>
      </w:pPr>
      <w:r w:rsidRPr="00D910C3">
        <w:rPr>
          <w:rFonts w:ascii="Arial" w:hAnsi="Arial" w:cs="Arial"/>
          <w:b/>
          <w:bCs/>
        </w:rPr>
        <w:t>Semáforo de riesgo</w:t>
      </w:r>
      <w:r w:rsidRPr="00D910C3">
        <w:rPr>
          <w:rFonts w:ascii="Arial" w:hAnsi="Arial" w:cs="Arial"/>
        </w:rPr>
        <w:t>: Clasificar funcionarios en verde (alta probabilidad de productividad), amarillo (riesgo medio) y rojo (riesgo alto), basado en sus características.</w:t>
      </w:r>
    </w:p>
    <w:p w14:paraId="27942A1E" w14:textId="77777777" w:rsidR="00D910C3" w:rsidRPr="00D910C3" w:rsidRDefault="00D910C3" w:rsidP="00D910C3">
      <w:pPr>
        <w:numPr>
          <w:ilvl w:val="0"/>
          <w:numId w:val="37"/>
        </w:numPr>
        <w:spacing w:line="360" w:lineRule="auto"/>
        <w:jc w:val="both"/>
        <w:rPr>
          <w:rFonts w:ascii="Arial" w:hAnsi="Arial" w:cs="Arial"/>
        </w:rPr>
      </w:pPr>
      <w:r w:rsidRPr="00D910C3">
        <w:rPr>
          <w:rFonts w:ascii="Arial" w:hAnsi="Arial" w:cs="Arial"/>
          <w:b/>
          <w:bCs/>
        </w:rPr>
        <w:t>Enfoque en Ahorro de Costos y Eficiencia</w:t>
      </w:r>
      <w:r w:rsidRPr="00D910C3">
        <w:rPr>
          <w:rFonts w:ascii="Arial" w:hAnsi="Arial" w:cs="Arial"/>
        </w:rPr>
        <w:t>:</w:t>
      </w:r>
    </w:p>
    <w:p w14:paraId="7A20859B" w14:textId="77777777" w:rsidR="00D910C3" w:rsidRPr="00D910C3" w:rsidRDefault="00D910C3" w:rsidP="00D910C3">
      <w:pPr>
        <w:numPr>
          <w:ilvl w:val="1"/>
          <w:numId w:val="37"/>
        </w:numPr>
        <w:spacing w:line="360" w:lineRule="auto"/>
        <w:jc w:val="both"/>
        <w:rPr>
          <w:rFonts w:ascii="Arial" w:hAnsi="Arial" w:cs="Arial"/>
        </w:rPr>
      </w:pPr>
      <w:r w:rsidRPr="00D910C3">
        <w:rPr>
          <w:rFonts w:ascii="Arial" w:hAnsi="Arial" w:cs="Arial"/>
          <w:i/>
          <w:iCs/>
        </w:rPr>
        <w:t>Mensaje clave</w:t>
      </w:r>
      <w:r w:rsidRPr="00D910C3">
        <w:rPr>
          <w:rFonts w:ascii="Arial" w:hAnsi="Arial" w:cs="Arial"/>
        </w:rPr>
        <w:t>: "Optimizar la asignación de teletrabajo usando nuestro modelo podría aumentar la productividad general en hasta 15%, equivalentes a [X] millones de horas laborales anuales recuperadas".</w:t>
      </w:r>
    </w:p>
    <w:p w14:paraId="4CB27ACD" w14:textId="77777777" w:rsidR="00D910C3" w:rsidRPr="00D910C3" w:rsidRDefault="00D910C3" w:rsidP="00D910C3">
      <w:pPr>
        <w:spacing w:line="360" w:lineRule="auto"/>
        <w:jc w:val="both"/>
        <w:rPr>
          <w:rFonts w:ascii="Arial" w:hAnsi="Arial" w:cs="Arial"/>
          <w:b/>
          <w:bCs/>
        </w:rPr>
      </w:pPr>
      <w:r w:rsidRPr="00D910C3">
        <w:rPr>
          <w:rFonts w:ascii="Arial" w:hAnsi="Arial" w:cs="Arial"/>
          <w:b/>
          <w:bCs/>
        </w:rPr>
        <w:t>Estrategias de Implementación Práctica</w:t>
      </w:r>
    </w:p>
    <w:p w14:paraId="761DEF19" w14:textId="77777777" w:rsidR="00D910C3" w:rsidRPr="00D910C3" w:rsidRDefault="00D910C3" w:rsidP="00D910C3">
      <w:pPr>
        <w:numPr>
          <w:ilvl w:val="0"/>
          <w:numId w:val="38"/>
        </w:numPr>
        <w:spacing w:line="360" w:lineRule="auto"/>
        <w:jc w:val="both"/>
        <w:rPr>
          <w:rFonts w:ascii="Arial" w:hAnsi="Arial" w:cs="Arial"/>
        </w:rPr>
      </w:pPr>
      <w:r w:rsidRPr="00D910C3">
        <w:rPr>
          <w:rFonts w:ascii="Arial" w:hAnsi="Arial" w:cs="Arial"/>
          <w:b/>
          <w:bCs/>
        </w:rPr>
        <w:t>Piloto en Servicios Públicos Clave</w:t>
      </w:r>
      <w:r w:rsidRPr="00D910C3">
        <w:rPr>
          <w:rFonts w:ascii="Arial" w:hAnsi="Arial" w:cs="Arial"/>
        </w:rPr>
        <w:t>:</w:t>
      </w:r>
    </w:p>
    <w:p w14:paraId="756A901C" w14:textId="77777777" w:rsidR="00D910C3" w:rsidRPr="00D910C3" w:rsidRDefault="00D910C3" w:rsidP="00D910C3">
      <w:pPr>
        <w:numPr>
          <w:ilvl w:val="1"/>
          <w:numId w:val="38"/>
        </w:numPr>
        <w:spacing w:line="360" w:lineRule="auto"/>
        <w:jc w:val="both"/>
        <w:rPr>
          <w:rFonts w:ascii="Arial" w:hAnsi="Arial" w:cs="Arial"/>
        </w:rPr>
      </w:pPr>
      <w:r w:rsidRPr="00D910C3">
        <w:rPr>
          <w:rFonts w:ascii="Arial" w:hAnsi="Arial" w:cs="Arial"/>
        </w:rPr>
        <w:t>Implementar durante 6 meses en 3 servicios con alta viabilidad técnica (</w:t>
      </w:r>
      <w:proofErr w:type="spellStart"/>
      <w:r w:rsidRPr="00D910C3">
        <w:rPr>
          <w:rFonts w:ascii="Arial" w:hAnsi="Arial" w:cs="Arial"/>
        </w:rPr>
        <w:t>ej</w:t>
      </w:r>
      <w:proofErr w:type="spellEnd"/>
      <w:r w:rsidRPr="00D910C3">
        <w:rPr>
          <w:rFonts w:ascii="Arial" w:hAnsi="Arial" w:cs="Arial"/>
        </w:rPr>
        <w:t>: SII, Registro Civil).</w:t>
      </w:r>
    </w:p>
    <w:p w14:paraId="14277018" w14:textId="77777777" w:rsidR="00D910C3" w:rsidRPr="00D910C3" w:rsidRDefault="00D910C3" w:rsidP="00D910C3">
      <w:pPr>
        <w:numPr>
          <w:ilvl w:val="1"/>
          <w:numId w:val="38"/>
        </w:numPr>
        <w:spacing w:line="360" w:lineRule="auto"/>
        <w:jc w:val="both"/>
        <w:rPr>
          <w:rFonts w:ascii="Arial" w:hAnsi="Arial" w:cs="Arial"/>
        </w:rPr>
      </w:pPr>
      <w:proofErr w:type="spellStart"/>
      <w:r w:rsidRPr="00D910C3">
        <w:rPr>
          <w:rFonts w:ascii="Arial" w:hAnsi="Arial" w:cs="Arial"/>
        </w:rPr>
        <w:t>Metricas</w:t>
      </w:r>
      <w:proofErr w:type="spellEnd"/>
      <w:r w:rsidRPr="00D910C3">
        <w:rPr>
          <w:rFonts w:ascii="Arial" w:hAnsi="Arial" w:cs="Arial"/>
        </w:rPr>
        <w:t xml:space="preserve"> de éxito: Aumento del 10% en indicadores de productividad institucional.</w:t>
      </w:r>
    </w:p>
    <w:p w14:paraId="48040E2D" w14:textId="77777777" w:rsidR="00D910C3" w:rsidRPr="00D910C3" w:rsidRDefault="00D910C3" w:rsidP="00D910C3">
      <w:pPr>
        <w:numPr>
          <w:ilvl w:val="0"/>
          <w:numId w:val="38"/>
        </w:numPr>
        <w:spacing w:line="360" w:lineRule="auto"/>
        <w:jc w:val="both"/>
        <w:rPr>
          <w:rFonts w:ascii="Arial" w:hAnsi="Arial" w:cs="Arial"/>
        </w:rPr>
      </w:pPr>
      <w:r w:rsidRPr="00D910C3">
        <w:rPr>
          <w:rFonts w:ascii="Arial" w:hAnsi="Arial" w:cs="Arial"/>
          <w:b/>
          <w:bCs/>
        </w:rPr>
        <w:t>Articulación con Normativa Vigente</w:t>
      </w:r>
      <w:r w:rsidRPr="00D910C3">
        <w:rPr>
          <w:rFonts w:ascii="Arial" w:hAnsi="Arial" w:cs="Arial"/>
        </w:rPr>
        <w:t>:</w:t>
      </w:r>
    </w:p>
    <w:p w14:paraId="5EA0BCCC" w14:textId="77777777" w:rsidR="00D910C3" w:rsidRPr="00D910C3" w:rsidRDefault="00D910C3" w:rsidP="00D910C3">
      <w:pPr>
        <w:numPr>
          <w:ilvl w:val="1"/>
          <w:numId w:val="38"/>
        </w:numPr>
        <w:spacing w:line="360" w:lineRule="auto"/>
        <w:jc w:val="both"/>
        <w:rPr>
          <w:rFonts w:ascii="Arial" w:hAnsi="Arial" w:cs="Arial"/>
        </w:rPr>
      </w:pPr>
      <w:r w:rsidRPr="00D910C3">
        <w:rPr>
          <w:rFonts w:ascii="Arial" w:hAnsi="Arial" w:cs="Arial"/>
        </w:rPr>
        <w:t>Alinear recomendaciones con la Ley 21.645, asegurando que las asignaciones de teletrabajo mantengan equidad y protección de derechos.</w:t>
      </w:r>
    </w:p>
    <w:p w14:paraId="5777BFE4" w14:textId="77777777" w:rsidR="00D910C3" w:rsidRPr="00D910C3" w:rsidRDefault="00D910C3" w:rsidP="00D910C3">
      <w:pPr>
        <w:numPr>
          <w:ilvl w:val="0"/>
          <w:numId w:val="38"/>
        </w:numPr>
        <w:spacing w:line="360" w:lineRule="auto"/>
        <w:jc w:val="both"/>
        <w:rPr>
          <w:rFonts w:ascii="Arial" w:hAnsi="Arial" w:cs="Arial"/>
        </w:rPr>
      </w:pPr>
      <w:r w:rsidRPr="00D910C3">
        <w:rPr>
          <w:rFonts w:ascii="Arial" w:hAnsi="Arial" w:cs="Arial"/>
          <w:b/>
          <w:bCs/>
        </w:rPr>
        <w:t>Capacitación a Jefaturas</w:t>
      </w:r>
      <w:r w:rsidRPr="00D910C3">
        <w:rPr>
          <w:rFonts w:ascii="Arial" w:hAnsi="Arial" w:cs="Arial"/>
        </w:rPr>
        <w:t>:</w:t>
      </w:r>
    </w:p>
    <w:p w14:paraId="2809693E" w14:textId="77777777" w:rsidR="00D910C3" w:rsidRPr="00D910C3" w:rsidRDefault="00D910C3" w:rsidP="00D910C3">
      <w:pPr>
        <w:numPr>
          <w:ilvl w:val="1"/>
          <w:numId w:val="38"/>
        </w:numPr>
        <w:spacing w:line="360" w:lineRule="auto"/>
        <w:jc w:val="both"/>
        <w:rPr>
          <w:rFonts w:ascii="Arial" w:hAnsi="Arial" w:cs="Arial"/>
        </w:rPr>
      </w:pPr>
      <w:r w:rsidRPr="00D910C3">
        <w:rPr>
          <w:rFonts w:ascii="Arial" w:hAnsi="Arial" w:cs="Arial"/>
        </w:rPr>
        <w:t>Desarrollar talleres para que directivos interpreten reportes predictivos y tomen decisiones basadas en evidencia.</w:t>
      </w:r>
    </w:p>
    <w:p w14:paraId="0C173A15" w14:textId="77777777" w:rsidR="00D910C3" w:rsidRPr="00D910C3" w:rsidRDefault="00D910C3" w:rsidP="00D910C3">
      <w:pPr>
        <w:numPr>
          <w:ilvl w:val="0"/>
          <w:numId w:val="38"/>
        </w:numPr>
        <w:spacing w:line="360" w:lineRule="auto"/>
        <w:jc w:val="both"/>
        <w:rPr>
          <w:rFonts w:ascii="Arial" w:hAnsi="Arial" w:cs="Arial"/>
        </w:rPr>
      </w:pPr>
      <w:r w:rsidRPr="00D910C3">
        <w:rPr>
          <w:rFonts w:ascii="Arial" w:hAnsi="Arial" w:cs="Arial"/>
          <w:b/>
          <w:bCs/>
        </w:rPr>
        <w:t>Sistema de Evaluación Continua</w:t>
      </w:r>
      <w:r w:rsidRPr="00D910C3">
        <w:rPr>
          <w:rFonts w:ascii="Arial" w:hAnsi="Arial" w:cs="Arial"/>
        </w:rPr>
        <w:t>:</w:t>
      </w:r>
    </w:p>
    <w:p w14:paraId="721BE0D6" w14:textId="77777777" w:rsidR="00D910C3" w:rsidRPr="00D910C3" w:rsidRDefault="00D910C3" w:rsidP="00D910C3">
      <w:pPr>
        <w:numPr>
          <w:ilvl w:val="1"/>
          <w:numId w:val="38"/>
        </w:numPr>
        <w:spacing w:line="360" w:lineRule="auto"/>
        <w:jc w:val="both"/>
        <w:rPr>
          <w:rFonts w:ascii="Arial" w:hAnsi="Arial" w:cs="Arial"/>
        </w:rPr>
      </w:pPr>
      <w:r w:rsidRPr="00D910C3">
        <w:rPr>
          <w:rFonts w:ascii="Arial" w:hAnsi="Arial" w:cs="Arial"/>
        </w:rPr>
        <w:lastRenderedPageBreak/>
        <w:t>Establecer revisiones trimestrales para ajustar umbrales predictivos según cambios organizacionales o tecnológicos.</w:t>
      </w:r>
    </w:p>
    <w:p w14:paraId="328D6E33" w14:textId="77777777" w:rsidR="00D910C3" w:rsidRPr="00D910C3" w:rsidRDefault="00D910C3" w:rsidP="00D910C3">
      <w:pPr>
        <w:spacing w:line="360" w:lineRule="auto"/>
        <w:jc w:val="both"/>
        <w:rPr>
          <w:rFonts w:ascii="Arial" w:hAnsi="Arial" w:cs="Arial"/>
        </w:rPr>
      </w:pPr>
      <w:r w:rsidRPr="00D910C3">
        <w:rPr>
          <w:rFonts w:ascii="Arial" w:hAnsi="Arial" w:cs="Arial"/>
        </w:rPr>
        <w:t>Esta traducción de resultados técnicos a aplicaciones prácticas permite transformar hallazgos estadísticos en herramientas accionables para mejorar la gestión del teletrabajo en el sector público, maximizando su impacto en productividad y eficiencia institucional.</w:t>
      </w:r>
    </w:p>
    <w:p w14:paraId="368EE0C6" w14:textId="77777777" w:rsidR="00926158" w:rsidRDefault="00926158" w:rsidP="005F56FF">
      <w:pPr>
        <w:spacing w:line="360" w:lineRule="auto"/>
        <w:jc w:val="both"/>
        <w:rPr>
          <w:rFonts w:ascii="Arial" w:hAnsi="Arial" w:cs="Arial"/>
        </w:rPr>
      </w:pPr>
    </w:p>
    <w:p w14:paraId="2280B0AC" w14:textId="77777777" w:rsidR="00926158" w:rsidRPr="005F56FF" w:rsidRDefault="00926158" w:rsidP="005F56FF">
      <w:pPr>
        <w:spacing w:line="360" w:lineRule="auto"/>
        <w:jc w:val="both"/>
        <w:rPr>
          <w:rFonts w:ascii="Arial" w:hAnsi="Arial" w:cs="Arial"/>
        </w:rPr>
      </w:pPr>
    </w:p>
    <w:p w14:paraId="31F9755C" w14:textId="55D156E9" w:rsidR="00090FCD" w:rsidRPr="006751F6" w:rsidRDefault="00B867D0" w:rsidP="00090FCD">
      <w:pPr>
        <w:pStyle w:val="Prrafodelista"/>
        <w:numPr>
          <w:ilvl w:val="0"/>
          <w:numId w:val="6"/>
        </w:numPr>
        <w:spacing w:line="360" w:lineRule="auto"/>
        <w:jc w:val="both"/>
        <w:rPr>
          <w:rFonts w:ascii="Arial" w:hAnsi="Arial" w:cs="Arial"/>
          <w:b/>
          <w:bCs/>
        </w:rPr>
      </w:pPr>
      <w:r w:rsidRPr="00B867D0">
        <w:rPr>
          <w:rFonts w:ascii="Arial" w:hAnsi="Arial" w:cs="Arial"/>
          <w:b/>
          <w:bCs/>
        </w:rPr>
        <w:t>Reflexión Crítica sobre Proceso Metodológico y Contribuciones Individuales</w:t>
      </w:r>
    </w:p>
    <w:p w14:paraId="342B8DC0" w14:textId="77777777" w:rsidR="00D92D47" w:rsidRDefault="00D92D47" w:rsidP="00D92D47">
      <w:pPr>
        <w:pStyle w:val="Prrafodelista"/>
        <w:spacing w:line="360" w:lineRule="auto"/>
        <w:ind w:left="1080"/>
        <w:jc w:val="both"/>
        <w:rPr>
          <w:rFonts w:ascii="Arial" w:hAnsi="Arial" w:cs="Arial"/>
        </w:rPr>
      </w:pPr>
    </w:p>
    <w:p w14:paraId="37D3FFD6" w14:textId="77777777" w:rsidR="00B867D0" w:rsidRPr="00D92D47" w:rsidRDefault="00B867D0" w:rsidP="00D92D47">
      <w:pPr>
        <w:pStyle w:val="Prrafodelista"/>
        <w:spacing w:line="360" w:lineRule="auto"/>
        <w:ind w:left="1080"/>
        <w:jc w:val="both"/>
        <w:rPr>
          <w:rFonts w:ascii="Arial" w:hAnsi="Arial" w:cs="Arial"/>
        </w:rPr>
      </w:pPr>
    </w:p>
    <w:p w14:paraId="16AA7E2D" w14:textId="7ECE1EB8" w:rsidR="00751543" w:rsidRDefault="00751543" w:rsidP="00751543">
      <w:pPr>
        <w:pStyle w:val="Prrafodelista"/>
        <w:numPr>
          <w:ilvl w:val="0"/>
          <w:numId w:val="6"/>
        </w:numPr>
        <w:spacing w:line="360" w:lineRule="auto"/>
        <w:jc w:val="both"/>
        <w:rPr>
          <w:rFonts w:ascii="Arial" w:hAnsi="Arial" w:cs="Arial"/>
          <w:b/>
          <w:bCs/>
        </w:rPr>
      </w:pPr>
      <w:r w:rsidRPr="00751543">
        <w:rPr>
          <w:rFonts w:ascii="Arial" w:hAnsi="Arial" w:cs="Arial"/>
          <w:b/>
          <w:bCs/>
        </w:rPr>
        <w:t xml:space="preserve">Referencias </w:t>
      </w:r>
    </w:p>
    <w:p w14:paraId="7416AC24" w14:textId="77777777" w:rsidR="00751543" w:rsidRPr="00751543" w:rsidRDefault="00751543" w:rsidP="00751543">
      <w:pPr>
        <w:pStyle w:val="Prrafodelista"/>
        <w:spacing w:line="360" w:lineRule="auto"/>
        <w:jc w:val="both"/>
        <w:rPr>
          <w:rFonts w:ascii="Arial" w:hAnsi="Arial" w:cs="Arial"/>
          <w:b/>
          <w:bCs/>
        </w:rPr>
      </w:pPr>
    </w:p>
    <w:p w14:paraId="43642E2D" w14:textId="77777777" w:rsidR="00751543" w:rsidRDefault="00751543" w:rsidP="00B51261">
      <w:pPr>
        <w:pStyle w:val="Prrafodelista"/>
        <w:numPr>
          <w:ilvl w:val="0"/>
          <w:numId w:val="14"/>
        </w:numPr>
        <w:spacing w:line="360" w:lineRule="auto"/>
        <w:jc w:val="both"/>
        <w:rPr>
          <w:rFonts w:ascii="Arial" w:hAnsi="Arial" w:cs="Arial"/>
        </w:rPr>
      </w:pPr>
      <w:r w:rsidRPr="00F231BE">
        <w:rPr>
          <w:rFonts w:ascii="Arial" w:hAnsi="Arial" w:cs="Arial"/>
        </w:rPr>
        <w:t xml:space="preserve">Análisis y comentarios a la ley </w:t>
      </w:r>
      <w:proofErr w:type="spellStart"/>
      <w:r w:rsidRPr="00F231BE">
        <w:rPr>
          <w:rFonts w:ascii="Arial" w:hAnsi="Arial" w:cs="Arial"/>
        </w:rPr>
        <w:t>N°</w:t>
      </w:r>
      <w:proofErr w:type="spellEnd"/>
      <w:r w:rsidRPr="00F231BE">
        <w:rPr>
          <w:rFonts w:ascii="Arial" w:hAnsi="Arial" w:cs="Arial"/>
        </w:rPr>
        <w:t xml:space="preserve"> 21.220 que modifica el Código del Trabajo en materia de trabajo a distancia. (2020). Revista Jurídica Digital UANDES, 3(2), 176-197. </w:t>
      </w:r>
      <w:hyperlink r:id="rId5" w:history="1">
        <w:r w:rsidRPr="00C51B6A">
          <w:rPr>
            <w:rStyle w:val="Hipervnculo"/>
            <w:rFonts w:ascii="Arial" w:hAnsi="Arial" w:cs="Arial"/>
          </w:rPr>
          <w:t>https://rjd.uandes.cl/index.php/rjduandes/article/view/87</w:t>
        </w:r>
      </w:hyperlink>
    </w:p>
    <w:p w14:paraId="01EACB04" w14:textId="1038410A" w:rsidR="00482EF9" w:rsidRPr="00482EF9" w:rsidRDefault="00482EF9" w:rsidP="00482EF9">
      <w:pPr>
        <w:pStyle w:val="Prrafodelista"/>
        <w:numPr>
          <w:ilvl w:val="0"/>
          <w:numId w:val="14"/>
        </w:numPr>
        <w:spacing w:line="360" w:lineRule="auto"/>
        <w:jc w:val="both"/>
        <w:rPr>
          <w:rFonts w:ascii="Arial" w:hAnsi="Arial" w:cs="Arial"/>
        </w:rPr>
      </w:pPr>
      <w:r w:rsidRPr="00172C73">
        <w:rPr>
          <w:rFonts w:ascii="Arial" w:hAnsi="Arial" w:cs="Arial"/>
        </w:rPr>
        <w:t>Contraloría General de la República. (2024, julio</w:t>
      </w:r>
      <w:r w:rsidRPr="006C6C76">
        <w:rPr>
          <w:rFonts w:ascii="Arial" w:hAnsi="Arial" w:cs="Arial"/>
        </w:rPr>
        <w:t xml:space="preserve"> 8). Dictamen E443357/2024: Aplicación de teletrabajo y Ley </w:t>
      </w:r>
      <w:proofErr w:type="spellStart"/>
      <w:r w:rsidRPr="006C6C76">
        <w:rPr>
          <w:rFonts w:ascii="Arial" w:hAnsi="Arial" w:cs="Arial"/>
        </w:rPr>
        <w:t>N°</w:t>
      </w:r>
      <w:proofErr w:type="spellEnd"/>
      <w:r w:rsidRPr="006C6C76">
        <w:rPr>
          <w:rFonts w:ascii="Arial" w:hAnsi="Arial" w:cs="Arial"/>
        </w:rPr>
        <w:t xml:space="preserve"> 21.645. </w:t>
      </w:r>
      <w:hyperlink r:id="rId6" w:history="1">
        <w:r w:rsidRPr="00C51B6A">
          <w:rPr>
            <w:rStyle w:val="Hipervnculo"/>
            <w:rFonts w:ascii="Arial" w:hAnsi="Arial" w:cs="Arial"/>
          </w:rPr>
          <w:t>https://www.contraloria.cl</w:t>
        </w:r>
      </w:hyperlink>
    </w:p>
    <w:p w14:paraId="1E944D89" w14:textId="77777777" w:rsidR="00482EF9" w:rsidRPr="00FD02FC" w:rsidRDefault="00482EF9" w:rsidP="00482EF9">
      <w:pPr>
        <w:pStyle w:val="Prrafodelista"/>
        <w:numPr>
          <w:ilvl w:val="0"/>
          <w:numId w:val="14"/>
        </w:numPr>
        <w:spacing w:line="360" w:lineRule="auto"/>
        <w:jc w:val="both"/>
        <w:rPr>
          <w:rFonts w:ascii="Arial" w:hAnsi="Arial" w:cs="Arial"/>
        </w:rPr>
      </w:pPr>
      <w:r w:rsidRPr="00B51261">
        <w:rPr>
          <w:rFonts w:ascii="Arial" w:hAnsi="Arial" w:cs="Arial"/>
        </w:rPr>
        <w:t xml:space="preserve">Diario Constitucional. (2024). </w:t>
      </w:r>
      <w:r w:rsidRPr="00B51261">
        <w:rPr>
          <w:rFonts w:ascii="Arial" w:hAnsi="Arial" w:cs="Arial"/>
          <w:i/>
          <w:iCs/>
        </w:rPr>
        <w:t>¿Resulta aplicable para el sector público la Ley N.º 21.645 que modificó el Código del Trabajo, en lo relativo a la protección a la maternidad, paternidad y vida familiar y regula un régimen?</w:t>
      </w:r>
      <w:r w:rsidRPr="00B51261">
        <w:rPr>
          <w:rFonts w:ascii="Arial" w:hAnsi="Arial" w:cs="Arial"/>
        </w:rPr>
        <w:t xml:space="preserve"> Diario Constitucional. Recuperado de </w:t>
      </w:r>
      <w:hyperlink r:id="rId7" w:history="1">
        <w:r w:rsidRPr="00C51B6A">
          <w:rPr>
            <w:rStyle w:val="Hipervnculo"/>
            <w:rFonts w:ascii="Arial" w:hAnsi="Arial" w:cs="Arial"/>
          </w:rPr>
          <w:t>https://www.diarioconstitucional.cl/articulos/resulta-aplicable-para-el-sector-publico-la-ley-n%CB%9A-21-645-que-modifico-el-codigo-del-trabajo-en-lo-relativo-a-la-proteccion-a-la-maternidad-paternidad-y-vida-familiar-y-regula-un-regimen/</w:t>
        </w:r>
      </w:hyperlink>
      <w:r>
        <w:rPr>
          <w:rFonts w:ascii="Arial" w:hAnsi="Arial" w:cs="Arial"/>
        </w:rPr>
        <w:tab/>
      </w:r>
    </w:p>
    <w:p w14:paraId="75C4EBBB" w14:textId="092293E5" w:rsidR="00482EF9" w:rsidRPr="00482EF9" w:rsidRDefault="00482EF9" w:rsidP="00482EF9">
      <w:pPr>
        <w:pStyle w:val="Prrafodelista"/>
        <w:numPr>
          <w:ilvl w:val="0"/>
          <w:numId w:val="14"/>
        </w:numPr>
        <w:spacing w:line="360" w:lineRule="auto"/>
        <w:jc w:val="both"/>
        <w:rPr>
          <w:rFonts w:ascii="Arial" w:hAnsi="Arial" w:cs="Arial"/>
        </w:rPr>
      </w:pPr>
      <w:r w:rsidRPr="00FD02FC">
        <w:rPr>
          <w:rFonts w:ascii="Arial" w:hAnsi="Arial" w:cs="Arial"/>
        </w:rPr>
        <w:t xml:space="preserve">Instituto Nacional de Estadísticas (INE). (2024). Boletín trimestral de empleo público y productividad. </w:t>
      </w:r>
      <w:hyperlink r:id="rId8" w:history="1">
        <w:r w:rsidRPr="00C51B6A">
          <w:rPr>
            <w:rStyle w:val="Hipervnculo"/>
            <w:rFonts w:ascii="Arial" w:hAnsi="Arial" w:cs="Arial"/>
          </w:rPr>
          <w:t>https://www.ine.cl</w:t>
        </w:r>
      </w:hyperlink>
    </w:p>
    <w:p w14:paraId="6C9617A3" w14:textId="27B55C14" w:rsidR="00172C73" w:rsidRDefault="00172C73" w:rsidP="00B51261">
      <w:pPr>
        <w:pStyle w:val="Prrafodelista"/>
        <w:numPr>
          <w:ilvl w:val="0"/>
          <w:numId w:val="14"/>
        </w:numPr>
        <w:spacing w:line="360" w:lineRule="auto"/>
        <w:jc w:val="both"/>
        <w:rPr>
          <w:rFonts w:ascii="Arial" w:hAnsi="Arial" w:cs="Arial"/>
        </w:rPr>
      </w:pPr>
      <w:r w:rsidRPr="003B31A7">
        <w:rPr>
          <w:rFonts w:ascii="Arial" w:hAnsi="Arial" w:cs="Arial"/>
        </w:rPr>
        <w:lastRenderedPageBreak/>
        <w:t xml:space="preserve">Ley </w:t>
      </w:r>
      <w:r>
        <w:rPr>
          <w:rFonts w:ascii="Arial" w:hAnsi="Arial" w:cs="Arial"/>
        </w:rPr>
        <w:t>21</w:t>
      </w:r>
      <w:r w:rsidRPr="003B31A7">
        <w:rPr>
          <w:rFonts w:ascii="Arial" w:hAnsi="Arial" w:cs="Arial"/>
        </w:rPr>
        <w:t>.</w:t>
      </w:r>
      <w:r w:rsidR="00B92DA4">
        <w:rPr>
          <w:rFonts w:ascii="Arial" w:hAnsi="Arial" w:cs="Arial"/>
        </w:rPr>
        <w:t>220</w:t>
      </w:r>
      <w:r w:rsidRPr="003B31A7">
        <w:rPr>
          <w:rFonts w:ascii="Arial" w:hAnsi="Arial" w:cs="Arial"/>
        </w:rPr>
        <w:t xml:space="preserve">. </w:t>
      </w:r>
      <w:r w:rsidR="00B92DA4">
        <w:rPr>
          <w:rFonts w:ascii="Arial" w:hAnsi="Arial" w:cs="Arial"/>
        </w:rPr>
        <w:t>M</w:t>
      </w:r>
      <w:r w:rsidR="00B92DA4" w:rsidRPr="00B92DA4">
        <w:rPr>
          <w:rFonts w:ascii="Arial" w:hAnsi="Arial" w:cs="Arial"/>
        </w:rPr>
        <w:t>odifica el código del trabajo en materia de trabajo a distancia</w:t>
      </w:r>
      <w:r w:rsidR="00B92DA4" w:rsidRPr="003B31A7">
        <w:rPr>
          <w:rFonts w:ascii="Arial" w:hAnsi="Arial" w:cs="Arial"/>
        </w:rPr>
        <w:t xml:space="preserve">. </w:t>
      </w:r>
      <w:r w:rsidRPr="003B31A7">
        <w:rPr>
          <w:rFonts w:ascii="Arial" w:hAnsi="Arial" w:cs="Arial"/>
        </w:rPr>
        <w:t>(2</w:t>
      </w:r>
      <w:r w:rsidR="00B92DA4">
        <w:rPr>
          <w:rFonts w:ascii="Arial" w:hAnsi="Arial" w:cs="Arial"/>
        </w:rPr>
        <w:t>6</w:t>
      </w:r>
      <w:r w:rsidRPr="003B31A7">
        <w:rPr>
          <w:rFonts w:ascii="Arial" w:hAnsi="Arial" w:cs="Arial"/>
        </w:rPr>
        <w:t xml:space="preserve"> de </w:t>
      </w:r>
      <w:r w:rsidR="00B92DA4">
        <w:rPr>
          <w:rFonts w:ascii="Arial" w:hAnsi="Arial" w:cs="Arial"/>
        </w:rPr>
        <w:t>marzo</w:t>
      </w:r>
      <w:r w:rsidRPr="003B31A7">
        <w:rPr>
          <w:rFonts w:ascii="Arial" w:hAnsi="Arial" w:cs="Arial"/>
        </w:rPr>
        <w:t xml:space="preserve"> de 20</w:t>
      </w:r>
      <w:r>
        <w:rPr>
          <w:rFonts w:ascii="Arial" w:hAnsi="Arial" w:cs="Arial"/>
        </w:rPr>
        <w:t>2</w:t>
      </w:r>
      <w:r w:rsidR="00B92DA4">
        <w:rPr>
          <w:rFonts w:ascii="Arial" w:hAnsi="Arial" w:cs="Arial"/>
        </w:rPr>
        <w:t>0</w:t>
      </w:r>
      <w:r w:rsidRPr="003B31A7">
        <w:rPr>
          <w:rFonts w:ascii="Arial" w:hAnsi="Arial" w:cs="Arial"/>
        </w:rPr>
        <w:t xml:space="preserve">). En Biblioteca del Congreso Nacional. </w:t>
      </w:r>
      <w:hyperlink r:id="rId9" w:history="1">
        <w:r w:rsidR="00442CC6" w:rsidRPr="00C51B6A">
          <w:rPr>
            <w:rStyle w:val="Hipervnculo"/>
            <w:rFonts w:ascii="Arial" w:hAnsi="Arial" w:cs="Arial"/>
          </w:rPr>
          <w:t>https://www.bcn.cl/leychile/navegar?idNorma=1143741</w:t>
        </w:r>
      </w:hyperlink>
      <w:r w:rsidR="00442CC6">
        <w:rPr>
          <w:rFonts w:ascii="Arial" w:hAnsi="Arial" w:cs="Arial"/>
        </w:rPr>
        <w:tab/>
      </w:r>
    </w:p>
    <w:p w14:paraId="69164527" w14:textId="77777777" w:rsidR="00F363BD" w:rsidRDefault="002E39BA" w:rsidP="00B51261">
      <w:pPr>
        <w:pStyle w:val="Prrafodelista"/>
        <w:numPr>
          <w:ilvl w:val="0"/>
          <w:numId w:val="14"/>
        </w:numPr>
        <w:spacing w:line="360" w:lineRule="auto"/>
        <w:jc w:val="both"/>
        <w:rPr>
          <w:rFonts w:ascii="Arial" w:hAnsi="Arial" w:cs="Arial"/>
        </w:rPr>
      </w:pPr>
      <w:r w:rsidRPr="003B31A7">
        <w:rPr>
          <w:rFonts w:ascii="Arial" w:hAnsi="Arial" w:cs="Arial"/>
        </w:rPr>
        <w:t xml:space="preserve">Ley </w:t>
      </w:r>
      <w:r w:rsidR="001D0355">
        <w:rPr>
          <w:rFonts w:ascii="Arial" w:hAnsi="Arial" w:cs="Arial"/>
        </w:rPr>
        <w:t>21</w:t>
      </w:r>
      <w:r w:rsidRPr="003B31A7">
        <w:rPr>
          <w:rFonts w:ascii="Arial" w:hAnsi="Arial" w:cs="Arial"/>
        </w:rPr>
        <w:t>.</w:t>
      </w:r>
      <w:r w:rsidR="001D0355">
        <w:rPr>
          <w:rFonts w:ascii="Arial" w:hAnsi="Arial" w:cs="Arial"/>
        </w:rPr>
        <w:t>645</w:t>
      </w:r>
      <w:r w:rsidRPr="003B31A7">
        <w:rPr>
          <w:rFonts w:ascii="Arial" w:hAnsi="Arial" w:cs="Arial"/>
        </w:rPr>
        <w:t xml:space="preserve">. </w:t>
      </w:r>
      <w:r w:rsidR="00BA2E45">
        <w:rPr>
          <w:rFonts w:ascii="Arial" w:hAnsi="Arial" w:cs="Arial"/>
        </w:rPr>
        <w:t>M</w:t>
      </w:r>
      <w:r w:rsidR="00BA2E45" w:rsidRPr="00BA2E45">
        <w:rPr>
          <w:rFonts w:ascii="Arial" w:hAnsi="Arial" w:cs="Arial"/>
        </w:rPr>
        <w:t xml:space="preserve">odifica el título </w:t>
      </w:r>
      <w:proofErr w:type="spellStart"/>
      <w:r w:rsidR="00BA2E45" w:rsidRPr="00BA2E45">
        <w:rPr>
          <w:rFonts w:ascii="Arial" w:hAnsi="Arial" w:cs="Arial"/>
        </w:rPr>
        <w:t>ii</w:t>
      </w:r>
      <w:proofErr w:type="spellEnd"/>
      <w:r w:rsidR="00BA2E45" w:rsidRPr="00BA2E45">
        <w:rPr>
          <w:rFonts w:ascii="Arial" w:hAnsi="Arial" w:cs="Arial"/>
        </w:rPr>
        <w:t xml:space="preserve"> del libro </w:t>
      </w:r>
      <w:proofErr w:type="spellStart"/>
      <w:r w:rsidR="00BA2E45" w:rsidRPr="00BA2E45">
        <w:rPr>
          <w:rFonts w:ascii="Arial" w:hAnsi="Arial" w:cs="Arial"/>
        </w:rPr>
        <w:t>ii</w:t>
      </w:r>
      <w:proofErr w:type="spellEnd"/>
      <w:r w:rsidR="00BA2E45" w:rsidRPr="00BA2E45">
        <w:rPr>
          <w:rFonts w:ascii="Arial" w:hAnsi="Arial" w:cs="Arial"/>
        </w:rPr>
        <w:t xml:space="preserve"> del código del trabajo "de la protección a la maternidad, paternidad y vida familiar" y regula un régimen de trabajo a distancia y teletrabajo en las condiciones que indica</w:t>
      </w:r>
      <w:r w:rsidR="00BA2E45" w:rsidRPr="003B31A7">
        <w:rPr>
          <w:rFonts w:ascii="Arial" w:hAnsi="Arial" w:cs="Arial"/>
        </w:rPr>
        <w:t xml:space="preserve">. </w:t>
      </w:r>
      <w:r w:rsidRPr="003B31A7">
        <w:rPr>
          <w:rFonts w:ascii="Arial" w:hAnsi="Arial" w:cs="Arial"/>
        </w:rPr>
        <w:t>(2</w:t>
      </w:r>
      <w:r w:rsidR="00172C73">
        <w:rPr>
          <w:rFonts w:ascii="Arial" w:hAnsi="Arial" w:cs="Arial"/>
        </w:rPr>
        <w:t>9</w:t>
      </w:r>
      <w:r w:rsidRPr="003B31A7">
        <w:rPr>
          <w:rFonts w:ascii="Arial" w:hAnsi="Arial" w:cs="Arial"/>
        </w:rPr>
        <w:t xml:space="preserve"> de </w:t>
      </w:r>
      <w:r w:rsidR="00172C73">
        <w:rPr>
          <w:rFonts w:ascii="Arial" w:hAnsi="Arial" w:cs="Arial"/>
        </w:rPr>
        <w:t>diciembre</w:t>
      </w:r>
      <w:r w:rsidRPr="003B31A7">
        <w:rPr>
          <w:rFonts w:ascii="Arial" w:hAnsi="Arial" w:cs="Arial"/>
        </w:rPr>
        <w:t xml:space="preserve"> de 20</w:t>
      </w:r>
      <w:r w:rsidR="00172C73">
        <w:rPr>
          <w:rFonts w:ascii="Arial" w:hAnsi="Arial" w:cs="Arial"/>
        </w:rPr>
        <w:t>23</w:t>
      </w:r>
      <w:r w:rsidRPr="003B31A7">
        <w:rPr>
          <w:rFonts w:ascii="Arial" w:hAnsi="Arial" w:cs="Arial"/>
        </w:rPr>
        <w:t xml:space="preserve">). En Biblioteca del Congreso Nacional. </w:t>
      </w:r>
      <w:hyperlink r:id="rId10" w:history="1">
        <w:r w:rsidR="00172C73" w:rsidRPr="00172C73">
          <w:rPr>
            <w:rStyle w:val="Hipervnculo"/>
            <w:rFonts w:ascii="Arial" w:hAnsi="Arial" w:cs="Arial"/>
          </w:rPr>
          <w:t>https://www.bcn.cl/leychile/navegar?idNorma=1199604</w:t>
        </w:r>
      </w:hyperlink>
      <w:r w:rsidR="00172C73" w:rsidRPr="00172C73">
        <w:rPr>
          <w:rFonts w:ascii="Arial" w:hAnsi="Arial" w:cs="Arial"/>
        </w:rPr>
        <w:tab/>
      </w:r>
    </w:p>
    <w:p w14:paraId="6B4DEF3D" w14:textId="77777777" w:rsidR="00F363BD" w:rsidRDefault="00F363BD" w:rsidP="00F363BD">
      <w:pPr>
        <w:spacing w:line="360" w:lineRule="auto"/>
        <w:jc w:val="both"/>
        <w:rPr>
          <w:rFonts w:ascii="Arial" w:hAnsi="Arial" w:cs="Arial"/>
        </w:rPr>
      </w:pPr>
    </w:p>
    <w:p w14:paraId="564C9AAA" w14:textId="77777777" w:rsidR="00F363BD" w:rsidRDefault="00F363BD" w:rsidP="00F363BD">
      <w:pPr>
        <w:spacing w:line="360" w:lineRule="auto"/>
        <w:jc w:val="both"/>
        <w:rPr>
          <w:rFonts w:ascii="Arial" w:hAnsi="Arial" w:cs="Arial"/>
        </w:rPr>
      </w:pPr>
    </w:p>
    <w:p w14:paraId="627A3F3D" w14:textId="77777777" w:rsidR="00F363BD" w:rsidRDefault="00F363BD" w:rsidP="00F363BD">
      <w:pPr>
        <w:spacing w:line="360" w:lineRule="auto"/>
        <w:jc w:val="both"/>
        <w:rPr>
          <w:rFonts w:ascii="Arial" w:hAnsi="Arial" w:cs="Arial"/>
        </w:rPr>
      </w:pPr>
    </w:p>
    <w:p w14:paraId="4AD1DC70" w14:textId="77777777" w:rsidR="00F363BD" w:rsidRDefault="00F363BD" w:rsidP="00F363BD">
      <w:pPr>
        <w:spacing w:line="360" w:lineRule="auto"/>
        <w:jc w:val="both"/>
        <w:rPr>
          <w:rFonts w:ascii="Arial" w:hAnsi="Arial" w:cs="Arial"/>
        </w:rPr>
      </w:pPr>
    </w:p>
    <w:p w14:paraId="2C39CD31" w14:textId="77777777" w:rsidR="00F363BD" w:rsidRDefault="00F363BD" w:rsidP="00F363BD">
      <w:pPr>
        <w:spacing w:line="360" w:lineRule="auto"/>
        <w:jc w:val="both"/>
        <w:rPr>
          <w:rFonts w:ascii="Arial" w:hAnsi="Arial" w:cs="Arial"/>
        </w:rPr>
      </w:pPr>
    </w:p>
    <w:p w14:paraId="47B5FBAF" w14:textId="77777777" w:rsidR="00F363BD" w:rsidRDefault="00F363BD" w:rsidP="00F363BD">
      <w:pPr>
        <w:spacing w:line="360" w:lineRule="auto"/>
        <w:jc w:val="both"/>
        <w:rPr>
          <w:rFonts w:ascii="Arial" w:hAnsi="Arial" w:cs="Arial"/>
        </w:rPr>
      </w:pPr>
    </w:p>
    <w:p w14:paraId="321830C4" w14:textId="77777777" w:rsidR="00F363BD" w:rsidRDefault="00F363BD" w:rsidP="00F363BD">
      <w:pPr>
        <w:spacing w:line="360" w:lineRule="auto"/>
        <w:jc w:val="both"/>
        <w:rPr>
          <w:rFonts w:ascii="Arial" w:hAnsi="Arial" w:cs="Arial"/>
        </w:rPr>
      </w:pPr>
    </w:p>
    <w:p w14:paraId="3F12139E" w14:textId="77777777" w:rsidR="00F363BD" w:rsidRDefault="00F363BD" w:rsidP="00F363BD">
      <w:pPr>
        <w:spacing w:line="360" w:lineRule="auto"/>
        <w:jc w:val="both"/>
        <w:rPr>
          <w:rFonts w:ascii="Arial" w:hAnsi="Arial" w:cs="Arial"/>
        </w:rPr>
      </w:pPr>
    </w:p>
    <w:p w14:paraId="6A8F0F02" w14:textId="77777777" w:rsidR="00F363BD" w:rsidRDefault="00F363BD" w:rsidP="00F363BD">
      <w:pPr>
        <w:spacing w:line="360" w:lineRule="auto"/>
        <w:jc w:val="both"/>
        <w:rPr>
          <w:rFonts w:ascii="Arial" w:hAnsi="Arial" w:cs="Arial"/>
        </w:rPr>
      </w:pPr>
    </w:p>
    <w:p w14:paraId="5D23D3A3" w14:textId="77777777" w:rsidR="00F363BD" w:rsidRDefault="00F363BD" w:rsidP="00F363BD">
      <w:pPr>
        <w:spacing w:line="360" w:lineRule="auto"/>
        <w:jc w:val="both"/>
        <w:rPr>
          <w:rFonts w:ascii="Arial" w:hAnsi="Arial" w:cs="Arial"/>
        </w:rPr>
      </w:pPr>
    </w:p>
    <w:p w14:paraId="0480B8EE" w14:textId="77777777" w:rsidR="00F363BD" w:rsidRDefault="00F363BD" w:rsidP="00F363BD">
      <w:pPr>
        <w:spacing w:line="360" w:lineRule="auto"/>
        <w:jc w:val="both"/>
        <w:rPr>
          <w:rFonts w:ascii="Arial" w:hAnsi="Arial" w:cs="Arial"/>
        </w:rPr>
      </w:pPr>
    </w:p>
    <w:p w14:paraId="01E95054" w14:textId="77777777" w:rsidR="00F363BD" w:rsidRDefault="00F363BD" w:rsidP="00F363BD">
      <w:pPr>
        <w:spacing w:line="360" w:lineRule="auto"/>
        <w:jc w:val="both"/>
        <w:rPr>
          <w:rFonts w:ascii="Arial" w:hAnsi="Arial" w:cs="Arial"/>
        </w:rPr>
      </w:pPr>
    </w:p>
    <w:p w14:paraId="26891F27" w14:textId="77777777" w:rsidR="00F363BD" w:rsidRDefault="00F363BD" w:rsidP="00F363BD">
      <w:pPr>
        <w:spacing w:line="360" w:lineRule="auto"/>
        <w:jc w:val="both"/>
        <w:rPr>
          <w:rFonts w:ascii="Arial" w:hAnsi="Arial" w:cs="Arial"/>
        </w:rPr>
      </w:pPr>
    </w:p>
    <w:p w14:paraId="54CD6B09" w14:textId="77777777" w:rsidR="00F363BD" w:rsidRDefault="00F363BD" w:rsidP="00F363BD">
      <w:pPr>
        <w:spacing w:line="360" w:lineRule="auto"/>
        <w:jc w:val="both"/>
        <w:rPr>
          <w:rFonts w:ascii="Arial" w:hAnsi="Arial" w:cs="Arial"/>
        </w:rPr>
      </w:pPr>
    </w:p>
    <w:p w14:paraId="20D96264" w14:textId="77777777" w:rsidR="00F363BD" w:rsidRDefault="00F363BD" w:rsidP="00F363BD">
      <w:pPr>
        <w:spacing w:line="360" w:lineRule="auto"/>
        <w:jc w:val="both"/>
        <w:rPr>
          <w:rFonts w:ascii="Arial" w:hAnsi="Arial" w:cs="Arial"/>
        </w:rPr>
      </w:pPr>
    </w:p>
    <w:p w14:paraId="7B60BA46" w14:textId="77777777" w:rsidR="00F363BD" w:rsidRDefault="00F363BD" w:rsidP="00F363BD">
      <w:pPr>
        <w:spacing w:line="360" w:lineRule="auto"/>
        <w:jc w:val="both"/>
        <w:rPr>
          <w:rFonts w:ascii="Arial" w:hAnsi="Arial" w:cs="Arial"/>
        </w:rPr>
      </w:pPr>
    </w:p>
    <w:p w14:paraId="7C491990" w14:textId="77777777" w:rsidR="00F363BD" w:rsidRDefault="00F363BD" w:rsidP="00F363BD">
      <w:pPr>
        <w:spacing w:line="360" w:lineRule="auto"/>
        <w:jc w:val="both"/>
        <w:rPr>
          <w:rFonts w:ascii="Arial" w:hAnsi="Arial" w:cs="Arial"/>
        </w:rPr>
      </w:pPr>
    </w:p>
    <w:p w14:paraId="4B31ADE8" w14:textId="77777777" w:rsidR="00F363BD" w:rsidRDefault="00F363BD" w:rsidP="00F363BD">
      <w:pPr>
        <w:spacing w:line="360" w:lineRule="auto"/>
        <w:jc w:val="both"/>
        <w:rPr>
          <w:rFonts w:ascii="Arial" w:hAnsi="Arial" w:cs="Arial"/>
        </w:rPr>
      </w:pPr>
    </w:p>
    <w:p w14:paraId="5615D73C" w14:textId="77777777" w:rsidR="00F363BD" w:rsidRDefault="00F363BD" w:rsidP="00F363BD">
      <w:pPr>
        <w:spacing w:line="360" w:lineRule="auto"/>
        <w:jc w:val="both"/>
        <w:rPr>
          <w:rFonts w:ascii="Arial" w:hAnsi="Arial" w:cs="Arial"/>
        </w:rPr>
      </w:pPr>
    </w:p>
    <w:p w14:paraId="5220EEE4" w14:textId="77777777" w:rsidR="00F363BD" w:rsidRDefault="00F363BD" w:rsidP="00F363BD">
      <w:pPr>
        <w:spacing w:line="360" w:lineRule="auto"/>
        <w:jc w:val="both"/>
        <w:rPr>
          <w:rFonts w:ascii="Arial" w:hAnsi="Arial" w:cs="Arial"/>
        </w:rPr>
      </w:pPr>
    </w:p>
    <w:p w14:paraId="1287382F" w14:textId="77777777" w:rsidR="00F363BD" w:rsidRDefault="00F363BD" w:rsidP="00F363BD">
      <w:pPr>
        <w:spacing w:line="360" w:lineRule="auto"/>
        <w:jc w:val="both"/>
        <w:rPr>
          <w:rFonts w:ascii="Arial" w:hAnsi="Arial" w:cs="Arial"/>
        </w:rPr>
      </w:pPr>
    </w:p>
    <w:p w14:paraId="3AFDD3B0" w14:textId="1569AFBA" w:rsidR="002E39BA" w:rsidRPr="00F363BD" w:rsidRDefault="002E39BA" w:rsidP="00F363BD">
      <w:pPr>
        <w:spacing w:line="360" w:lineRule="auto"/>
        <w:jc w:val="both"/>
        <w:rPr>
          <w:rFonts w:ascii="Arial" w:hAnsi="Arial" w:cs="Arial"/>
        </w:rPr>
      </w:pPr>
      <w:r w:rsidRPr="00F363BD">
        <w:rPr>
          <w:rFonts w:ascii="Arial" w:hAnsi="Arial" w:cs="Arial"/>
        </w:rPr>
        <w:tab/>
      </w:r>
    </w:p>
    <w:sectPr w:rsidR="002E39BA" w:rsidRPr="00F363BD" w:rsidSect="00751543">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3434"/>
    <w:multiLevelType w:val="hybridMultilevel"/>
    <w:tmpl w:val="8684EFF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125EE3"/>
    <w:multiLevelType w:val="multilevel"/>
    <w:tmpl w:val="A15279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2714F"/>
    <w:multiLevelType w:val="hybridMultilevel"/>
    <w:tmpl w:val="48FC534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0F671F85"/>
    <w:multiLevelType w:val="hybridMultilevel"/>
    <w:tmpl w:val="D514E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8169D0"/>
    <w:multiLevelType w:val="multilevel"/>
    <w:tmpl w:val="45C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85539"/>
    <w:multiLevelType w:val="hybridMultilevel"/>
    <w:tmpl w:val="69708E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1797587"/>
    <w:multiLevelType w:val="multilevel"/>
    <w:tmpl w:val="30B6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C1352"/>
    <w:multiLevelType w:val="hybridMultilevel"/>
    <w:tmpl w:val="E3CA5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6B4F47"/>
    <w:multiLevelType w:val="hybridMultilevel"/>
    <w:tmpl w:val="44E8E8EE"/>
    <w:lvl w:ilvl="0" w:tplc="875C608C">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6280317"/>
    <w:multiLevelType w:val="hybridMultilevel"/>
    <w:tmpl w:val="4D4CD9E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2A76356A"/>
    <w:multiLevelType w:val="hybridMultilevel"/>
    <w:tmpl w:val="B7EE98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9B6AD0"/>
    <w:multiLevelType w:val="multilevel"/>
    <w:tmpl w:val="E19C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76E48"/>
    <w:multiLevelType w:val="hybridMultilevel"/>
    <w:tmpl w:val="FDF2B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42C4833"/>
    <w:multiLevelType w:val="multilevel"/>
    <w:tmpl w:val="52BEA2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E1191C"/>
    <w:multiLevelType w:val="multilevel"/>
    <w:tmpl w:val="1638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F3BD0"/>
    <w:multiLevelType w:val="hybridMultilevel"/>
    <w:tmpl w:val="A49204C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3D9B2071"/>
    <w:multiLevelType w:val="multilevel"/>
    <w:tmpl w:val="4ED0D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B29CA"/>
    <w:multiLevelType w:val="multilevel"/>
    <w:tmpl w:val="E8B2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70493"/>
    <w:multiLevelType w:val="multilevel"/>
    <w:tmpl w:val="327C0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72098"/>
    <w:multiLevelType w:val="hybridMultilevel"/>
    <w:tmpl w:val="3CA01A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B4A1657"/>
    <w:multiLevelType w:val="hybridMultilevel"/>
    <w:tmpl w:val="5A12F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BDB5229"/>
    <w:multiLevelType w:val="multilevel"/>
    <w:tmpl w:val="7D1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824F2"/>
    <w:multiLevelType w:val="hybridMultilevel"/>
    <w:tmpl w:val="415276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9BB240F"/>
    <w:multiLevelType w:val="hybridMultilevel"/>
    <w:tmpl w:val="17241B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D4277C9"/>
    <w:multiLevelType w:val="hybridMultilevel"/>
    <w:tmpl w:val="659440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EB93168"/>
    <w:multiLevelType w:val="hybridMultilevel"/>
    <w:tmpl w:val="649ABC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F8D5E4E"/>
    <w:multiLevelType w:val="hybridMultilevel"/>
    <w:tmpl w:val="1CE02C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EF1978"/>
    <w:multiLevelType w:val="multilevel"/>
    <w:tmpl w:val="5AE6A9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06E65"/>
    <w:multiLevelType w:val="multilevel"/>
    <w:tmpl w:val="32904D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52D23"/>
    <w:multiLevelType w:val="hybridMultilevel"/>
    <w:tmpl w:val="96D4B41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15:restartNumberingAfterBreak="0">
    <w:nsid w:val="6AA9331F"/>
    <w:multiLevelType w:val="multilevel"/>
    <w:tmpl w:val="68CE09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123A7"/>
    <w:multiLevelType w:val="multilevel"/>
    <w:tmpl w:val="4AB0D2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8268B7"/>
    <w:multiLevelType w:val="multilevel"/>
    <w:tmpl w:val="0B86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A283E"/>
    <w:multiLevelType w:val="multilevel"/>
    <w:tmpl w:val="1A1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346C8"/>
    <w:multiLevelType w:val="multilevel"/>
    <w:tmpl w:val="53D2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F718B7"/>
    <w:multiLevelType w:val="multilevel"/>
    <w:tmpl w:val="C66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17E61"/>
    <w:multiLevelType w:val="multilevel"/>
    <w:tmpl w:val="2468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A28DF"/>
    <w:multiLevelType w:val="multilevel"/>
    <w:tmpl w:val="6B5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070230">
    <w:abstractNumId w:val="23"/>
  </w:num>
  <w:num w:numId="2" w16cid:durableId="309677070">
    <w:abstractNumId w:val="0"/>
  </w:num>
  <w:num w:numId="3" w16cid:durableId="1387098084">
    <w:abstractNumId w:val="14"/>
  </w:num>
  <w:num w:numId="4" w16cid:durableId="1694189301">
    <w:abstractNumId w:val="33"/>
  </w:num>
  <w:num w:numId="5" w16cid:durableId="1548565875">
    <w:abstractNumId w:val="35"/>
  </w:num>
  <w:num w:numId="6" w16cid:durableId="535310701">
    <w:abstractNumId w:val="8"/>
  </w:num>
  <w:num w:numId="7" w16cid:durableId="304362666">
    <w:abstractNumId w:val="2"/>
  </w:num>
  <w:num w:numId="8" w16cid:durableId="368190818">
    <w:abstractNumId w:val="20"/>
  </w:num>
  <w:num w:numId="9" w16cid:durableId="1771049136">
    <w:abstractNumId w:val="24"/>
  </w:num>
  <w:num w:numId="10" w16cid:durableId="618293815">
    <w:abstractNumId w:val="3"/>
  </w:num>
  <w:num w:numId="11" w16cid:durableId="912009094">
    <w:abstractNumId w:val="21"/>
  </w:num>
  <w:num w:numId="12" w16cid:durableId="773062963">
    <w:abstractNumId w:val="22"/>
  </w:num>
  <w:num w:numId="13" w16cid:durableId="2032992767">
    <w:abstractNumId w:val="19"/>
  </w:num>
  <w:num w:numId="14" w16cid:durableId="404303301">
    <w:abstractNumId w:val="7"/>
  </w:num>
  <w:num w:numId="15" w16cid:durableId="1175149466">
    <w:abstractNumId w:val="25"/>
  </w:num>
  <w:num w:numId="16" w16cid:durableId="1545170532">
    <w:abstractNumId w:val="12"/>
  </w:num>
  <w:num w:numId="17" w16cid:durableId="1787848973">
    <w:abstractNumId w:val="26"/>
  </w:num>
  <w:num w:numId="18" w16cid:durableId="686909414">
    <w:abstractNumId w:val="10"/>
  </w:num>
  <w:num w:numId="19" w16cid:durableId="171729216">
    <w:abstractNumId w:val="5"/>
  </w:num>
  <w:num w:numId="20" w16cid:durableId="1135297164">
    <w:abstractNumId w:val="15"/>
  </w:num>
  <w:num w:numId="21" w16cid:durableId="1921016132">
    <w:abstractNumId w:val="9"/>
  </w:num>
  <w:num w:numId="22" w16cid:durableId="484667168">
    <w:abstractNumId w:val="29"/>
  </w:num>
  <w:num w:numId="23" w16cid:durableId="302665342">
    <w:abstractNumId w:val="11"/>
  </w:num>
  <w:num w:numId="24" w16cid:durableId="623926954">
    <w:abstractNumId w:val="4"/>
  </w:num>
  <w:num w:numId="25" w16cid:durableId="1747336574">
    <w:abstractNumId w:val="34"/>
  </w:num>
  <w:num w:numId="26" w16cid:durableId="7098562">
    <w:abstractNumId w:val="16"/>
  </w:num>
  <w:num w:numId="27" w16cid:durableId="788472930">
    <w:abstractNumId w:val="37"/>
  </w:num>
  <w:num w:numId="28" w16cid:durableId="2094088947">
    <w:abstractNumId w:val="32"/>
  </w:num>
  <w:num w:numId="29" w16cid:durableId="1693915220">
    <w:abstractNumId w:val="36"/>
  </w:num>
  <w:num w:numId="30" w16cid:durableId="1237085613">
    <w:abstractNumId w:val="6"/>
  </w:num>
  <w:num w:numId="31" w16cid:durableId="170414378">
    <w:abstractNumId w:val="18"/>
  </w:num>
  <w:num w:numId="32" w16cid:durableId="880286200">
    <w:abstractNumId w:val="17"/>
  </w:num>
  <w:num w:numId="33" w16cid:durableId="122700603">
    <w:abstractNumId w:val="30"/>
  </w:num>
  <w:num w:numId="34" w16cid:durableId="2129160051">
    <w:abstractNumId w:val="28"/>
  </w:num>
  <w:num w:numId="35" w16cid:durableId="477110251">
    <w:abstractNumId w:val="1"/>
  </w:num>
  <w:num w:numId="36" w16cid:durableId="788817612">
    <w:abstractNumId w:val="13"/>
  </w:num>
  <w:num w:numId="37" w16cid:durableId="769085641">
    <w:abstractNumId w:val="31"/>
  </w:num>
  <w:num w:numId="38" w16cid:durableId="14245747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F1"/>
    <w:rsid w:val="00001821"/>
    <w:rsid w:val="00003830"/>
    <w:rsid w:val="00007099"/>
    <w:rsid w:val="00011133"/>
    <w:rsid w:val="0001436E"/>
    <w:rsid w:val="00015CD6"/>
    <w:rsid w:val="00016045"/>
    <w:rsid w:val="00032781"/>
    <w:rsid w:val="0004062E"/>
    <w:rsid w:val="000510A8"/>
    <w:rsid w:val="00052818"/>
    <w:rsid w:val="00054FF6"/>
    <w:rsid w:val="0005637C"/>
    <w:rsid w:val="00056544"/>
    <w:rsid w:val="00061E5D"/>
    <w:rsid w:val="00090D32"/>
    <w:rsid w:val="00090FCD"/>
    <w:rsid w:val="00096A05"/>
    <w:rsid w:val="000A2D68"/>
    <w:rsid w:val="000A383F"/>
    <w:rsid w:val="000A7857"/>
    <w:rsid w:val="000B0F15"/>
    <w:rsid w:val="000B2B36"/>
    <w:rsid w:val="000B4F20"/>
    <w:rsid w:val="000C2D85"/>
    <w:rsid w:val="000C61D3"/>
    <w:rsid w:val="000D1F00"/>
    <w:rsid w:val="000D5C11"/>
    <w:rsid w:val="000E0C2F"/>
    <w:rsid w:val="000E4F76"/>
    <w:rsid w:val="000F124D"/>
    <w:rsid w:val="000F23A5"/>
    <w:rsid w:val="000F50C8"/>
    <w:rsid w:val="000F5965"/>
    <w:rsid w:val="001006B2"/>
    <w:rsid w:val="00100784"/>
    <w:rsid w:val="00101606"/>
    <w:rsid w:val="00114C1B"/>
    <w:rsid w:val="00124110"/>
    <w:rsid w:val="00124F3B"/>
    <w:rsid w:val="0012521C"/>
    <w:rsid w:val="001265CE"/>
    <w:rsid w:val="00134092"/>
    <w:rsid w:val="001361BF"/>
    <w:rsid w:val="0014144D"/>
    <w:rsid w:val="0014403C"/>
    <w:rsid w:val="00147056"/>
    <w:rsid w:val="00163775"/>
    <w:rsid w:val="001662F8"/>
    <w:rsid w:val="00166CB7"/>
    <w:rsid w:val="00170895"/>
    <w:rsid w:val="00172C73"/>
    <w:rsid w:val="00175CA5"/>
    <w:rsid w:val="0017707E"/>
    <w:rsid w:val="00177B0D"/>
    <w:rsid w:val="0018030C"/>
    <w:rsid w:val="00182779"/>
    <w:rsid w:val="001A3120"/>
    <w:rsid w:val="001A4D56"/>
    <w:rsid w:val="001B09BA"/>
    <w:rsid w:val="001B2A2B"/>
    <w:rsid w:val="001B73BF"/>
    <w:rsid w:val="001C1C8C"/>
    <w:rsid w:val="001C4FAF"/>
    <w:rsid w:val="001D0355"/>
    <w:rsid w:val="001D7BF2"/>
    <w:rsid w:val="001E547F"/>
    <w:rsid w:val="001F16C6"/>
    <w:rsid w:val="002028B3"/>
    <w:rsid w:val="002036D5"/>
    <w:rsid w:val="002057E1"/>
    <w:rsid w:val="00206991"/>
    <w:rsid w:val="002136CB"/>
    <w:rsid w:val="00217ED1"/>
    <w:rsid w:val="00221368"/>
    <w:rsid w:val="00223716"/>
    <w:rsid w:val="002238AC"/>
    <w:rsid w:val="002273BC"/>
    <w:rsid w:val="0023758A"/>
    <w:rsid w:val="00240E0C"/>
    <w:rsid w:val="00250D78"/>
    <w:rsid w:val="0025632C"/>
    <w:rsid w:val="00257DA1"/>
    <w:rsid w:val="002726D4"/>
    <w:rsid w:val="00276675"/>
    <w:rsid w:val="00280034"/>
    <w:rsid w:val="00285982"/>
    <w:rsid w:val="00290D5E"/>
    <w:rsid w:val="002967E4"/>
    <w:rsid w:val="00297DC8"/>
    <w:rsid w:val="002A1D9E"/>
    <w:rsid w:val="002A4053"/>
    <w:rsid w:val="002B7168"/>
    <w:rsid w:val="002C2DE5"/>
    <w:rsid w:val="002C731C"/>
    <w:rsid w:val="002D09B6"/>
    <w:rsid w:val="002D31DC"/>
    <w:rsid w:val="002D4BBE"/>
    <w:rsid w:val="002D56D6"/>
    <w:rsid w:val="002D56F1"/>
    <w:rsid w:val="002D7223"/>
    <w:rsid w:val="002D7738"/>
    <w:rsid w:val="002E39BA"/>
    <w:rsid w:val="002E3DF9"/>
    <w:rsid w:val="002F0883"/>
    <w:rsid w:val="003014A3"/>
    <w:rsid w:val="00303067"/>
    <w:rsid w:val="003035A0"/>
    <w:rsid w:val="00310010"/>
    <w:rsid w:val="00312671"/>
    <w:rsid w:val="00313E3B"/>
    <w:rsid w:val="00316B30"/>
    <w:rsid w:val="00316F2B"/>
    <w:rsid w:val="00317C89"/>
    <w:rsid w:val="003251B2"/>
    <w:rsid w:val="00327B04"/>
    <w:rsid w:val="00327B3B"/>
    <w:rsid w:val="00331260"/>
    <w:rsid w:val="003434B6"/>
    <w:rsid w:val="00345346"/>
    <w:rsid w:val="003453EB"/>
    <w:rsid w:val="00345CF4"/>
    <w:rsid w:val="0035185A"/>
    <w:rsid w:val="00364FD3"/>
    <w:rsid w:val="003653FA"/>
    <w:rsid w:val="00377E57"/>
    <w:rsid w:val="0038262A"/>
    <w:rsid w:val="00390913"/>
    <w:rsid w:val="00394480"/>
    <w:rsid w:val="003A1305"/>
    <w:rsid w:val="003A2171"/>
    <w:rsid w:val="003A4F02"/>
    <w:rsid w:val="003A51C8"/>
    <w:rsid w:val="003B31A7"/>
    <w:rsid w:val="003B399C"/>
    <w:rsid w:val="003C1D1F"/>
    <w:rsid w:val="003C5BC1"/>
    <w:rsid w:val="003D3BD4"/>
    <w:rsid w:val="003D5601"/>
    <w:rsid w:val="003D7688"/>
    <w:rsid w:val="003E2C76"/>
    <w:rsid w:val="003E2E46"/>
    <w:rsid w:val="003F1CB8"/>
    <w:rsid w:val="004044D6"/>
    <w:rsid w:val="0040508E"/>
    <w:rsid w:val="00406E4C"/>
    <w:rsid w:val="004117F5"/>
    <w:rsid w:val="00414BE8"/>
    <w:rsid w:val="004257B4"/>
    <w:rsid w:val="00426611"/>
    <w:rsid w:val="00427EA7"/>
    <w:rsid w:val="00434EF5"/>
    <w:rsid w:val="004370D6"/>
    <w:rsid w:val="004378DC"/>
    <w:rsid w:val="00442CC6"/>
    <w:rsid w:val="00443654"/>
    <w:rsid w:val="004438F7"/>
    <w:rsid w:val="0045243D"/>
    <w:rsid w:val="00453565"/>
    <w:rsid w:val="00453D0C"/>
    <w:rsid w:val="00453ED7"/>
    <w:rsid w:val="00460F2B"/>
    <w:rsid w:val="0046202E"/>
    <w:rsid w:val="00477120"/>
    <w:rsid w:val="0048199C"/>
    <w:rsid w:val="00482EF9"/>
    <w:rsid w:val="00483B66"/>
    <w:rsid w:val="00496097"/>
    <w:rsid w:val="004A6067"/>
    <w:rsid w:val="004B0260"/>
    <w:rsid w:val="004B0686"/>
    <w:rsid w:val="004C4D32"/>
    <w:rsid w:val="004C6F8D"/>
    <w:rsid w:val="004D2F3A"/>
    <w:rsid w:val="004E04B2"/>
    <w:rsid w:val="004E3D76"/>
    <w:rsid w:val="004F0738"/>
    <w:rsid w:val="004F1907"/>
    <w:rsid w:val="00501386"/>
    <w:rsid w:val="005020BA"/>
    <w:rsid w:val="005034B2"/>
    <w:rsid w:val="005104F3"/>
    <w:rsid w:val="005118A4"/>
    <w:rsid w:val="005148E6"/>
    <w:rsid w:val="00521BDD"/>
    <w:rsid w:val="005263C3"/>
    <w:rsid w:val="00526AA0"/>
    <w:rsid w:val="00527579"/>
    <w:rsid w:val="00534E70"/>
    <w:rsid w:val="00542A63"/>
    <w:rsid w:val="005451B8"/>
    <w:rsid w:val="0054787F"/>
    <w:rsid w:val="005502CA"/>
    <w:rsid w:val="00562373"/>
    <w:rsid w:val="00563145"/>
    <w:rsid w:val="00565642"/>
    <w:rsid w:val="0058021E"/>
    <w:rsid w:val="00580E5F"/>
    <w:rsid w:val="00581F4F"/>
    <w:rsid w:val="00582DC8"/>
    <w:rsid w:val="00591135"/>
    <w:rsid w:val="005935BD"/>
    <w:rsid w:val="005A2976"/>
    <w:rsid w:val="005A549D"/>
    <w:rsid w:val="005A6637"/>
    <w:rsid w:val="005A7865"/>
    <w:rsid w:val="005B262D"/>
    <w:rsid w:val="005B2687"/>
    <w:rsid w:val="005B2984"/>
    <w:rsid w:val="005C0F1B"/>
    <w:rsid w:val="005C2517"/>
    <w:rsid w:val="005C2B97"/>
    <w:rsid w:val="005C308B"/>
    <w:rsid w:val="005C4286"/>
    <w:rsid w:val="005C5079"/>
    <w:rsid w:val="005D2939"/>
    <w:rsid w:val="005D4520"/>
    <w:rsid w:val="005D77C5"/>
    <w:rsid w:val="005D77EA"/>
    <w:rsid w:val="005E0147"/>
    <w:rsid w:val="005E0C62"/>
    <w:rsid w:val="005E6BA6"/>
    <w:rsid w:val="005F0C01"/>
    <w:rsid w:val="005F4600"/>
    <w:rsid w:val="005F56FF"/>
    <w:rsid w:val="0060209D"/>
    <w:rsid w:val="00606013"/>
    <w:rsid w:val="006106F3"/>
    <w:rsid w:val="00611FD2"/>
    <w:rsid w:val="0061722C"/>
    <w:rsid w:val="006241B0"/>
    <w:rsid w:val="00625959"/>
    <w:rsid w:val="00627AFD"/>
    <w:rsid w:val="0063348C"/>
    <w:rsid w:val="00633823"/>
    <w:rsid w:val="006348DB"/>
    <w:rsid w:val="00637C56"/>
    <w:rsid w:val="006402EE"/>
    <w:rsid w:val="006462AC"/>
    <w:rsid w:val="00646FE8"/>
    <w:rsid w:val="006504E8"/>
    <w:rsid w:val="0065613C"/>
    <w:rsid w:val="0065730F"/>
    <w:rsid w:val="0066019F"/>
    <w:rsid w:val="00662FAA"/>
    <w:rsid w:val="00663847"/>
    <w:rsid w:val="0067262A"/>
    <w:rsid w:val="006751F6"/>
    <w:rsid w:val="00677B55"/>
    <w:rsid w:val="00680AD7"/>
    <w:rsid w:val="00684930"/>
    <w:rsid w:val="00684FAB"/>
    <w:rsid w:val="00686879"/>
    <w:rsid w:val="006A1278"/>
    <w:rsid w:val="006A38F0"/>
    <w:rsid w:val="006B2626"/>
    <w:rsid w:val="006B5A09"/>
    <w:rsid w:val="006B6A72"/>
    <w:rsid w:val="006B6CEA"/>
    <w:rsid w:val="006B75A2"/>
    <w:rsid w:val="006C0065"/>
    <w:rsid w:val="006C5DDA"/>
    <w:rsid w:val="006C6C76"/>
    <w:rsid w:val="006C7BE9"/>
    <w:rsid w:val="006D0F0A"/>
    <w:rsid w:val="006D4906"/>
    <w:rsid w:val="006E6148"/>
    <w:rsid w:val="006F0EF8"/>
    <w:rsid w:val="006F2633"/>
    <w:rsid w:val="0070096F"/>
    <w:rsid w:val="00704FD5"/>
    <w:rsid w:val="00707F78"/>
    <w:rsid w:val="00710E25"/>
    <w:rsid w:val="0071277C"/>
    <w:rsid w:val="007132A6"/>
    <w:rsid w:val="0071702B"/>
    <w:rsid w:val="007220CA"/>
    <w:rsid w:val="007234D0"/>
    <w:rsid w:val="00733E4D"/>
    <w:rsid w:val="0073718E"/>
    <w:rsid w:val="0074301B"/>
    <w:rsid w:val="00746357"/>
    <w:rsid w:val="00751543"/>
    <w:rsid w:val="0076121E"/>
    <w:rsid w:val="00763F67"/>
    <w:rsid w:val="00766CB5"/>
    <w:rsid w:val="00767A53"/>
    <w:rsid w:val="00770886"/>
    <w:rsid w:val="007742CB"/>
    <w:rsid w:val="007749F2"/>
    <w:rsid w:val="007779C2"/>
    <w:rsid w:val="00777B4F"/>
    <w:rsid w:val="00780878"/>
    <w:rsid w:val="00782624"/>
    <w:rsid w:val="00784EFE"/>
    <w:rsid w:val="00790127"/>
    <w:rsid w:val="00795C13"/>
    <w:rsid w:val="007B0B67"/>
    <w:rsid w:val="007B2BC3"/>
    <w:rsid w:val="007B48D7"/>
    <w:rsid w:val="007C366E"/>
    <w:rsid w:val="007D225E"/>
    <w:rsid w:val="007D2524"/>
    <w:rsid w:val="007D2CDB"/>
    <w:rsid w:val="007E222F"/>
    <w:rsid w:val="007E6EBA"/>
    <w:rsid w:val="007F060B"/>
    <w:rsid w:val="007F42B8"/>
    <w:rsid w:val="007F7D6A"/>
    <w:rsid w:val="00803FE6"/>
    <w:rsid w:val="00812593"/>
    <w:rsid w:val="008154F7"/>
    <w:rsid w:val="008162C6"/>
    <w:rsid w:val="00822062"/>
    <w:rsid w:val="008230FC"/>
    <w:rsid w:val="008343ED"/>
    <w:rsid w:val="00846A7D"/>
    <w:rsid w:val="00847A4C"/>
    <w:rsid w:val="00863046"/>
    <w:rsid w:val="0086441D"/>
    <w:rsid w:val="00877086"/>
    <w:rsid w:val="0087711B"/>
    <w:rsid w:val="008872DC"/>
    <w:rsid w:val="008967C6"/>
    <w:rsid w:val="008B3753"/>
    <w:rsid w:val="008B6148"/>
    <w:rsid w:val="008B6716"/>
    <w:rsid w:val="008C2E4E"/>
    <w:rsid w:val="008C5687"/>
    <w:rsid w:val="008C5AC8"/>
    <w:rsid w:val="008C755F"/>
    <w:rsid w:val="008E4333"/>
    <w:rsid w:val="008E7DD1"/>
    <w:rsid w:val="008F1B91"/>
    <w:rsid w:val="008F31AE"/>
    <w:rsid w:val="009021AD"/>
    <w:rsid w:val="00913B15"/>
    <w:rsid w:val="00920925"/>
    <w:rsid w:val="00920CFD"/>
    <w:rsid w:val="0092605C"/>
    <w:rsid w:val="00926158"/>
    <w:rsid w:val="009348E5"/>
    <w:rsid w:val="00940BCD"/>
    <w:rsid w:val="0094266B"/>
    <w:rsid w:val="009451C7"/>
    <w:rsid w:val="00946BF9"/>
    <w:rsid w:val="009547CA"/>
    <w:rsid w:val="00956EAD"/>
    <w:rsid w:val="0095709A"/>
    <w:rsid w:val="009673DD"/>
    <w:rsid w:val="00974376"/>
    <w:rsid w:val="00985564"/>
    <w:rsid w:val="0098595D"/>
    <w:rsid w:val="00986270"/>
    <w:rsid w:val="00986D16"/>
    <w:rsid w:val="00995345"/>
    <w:rsid w:val="00996E18"/>
    <w:rsid w:val="009A0E8A"/>
    <w:rsid w:val="009A23DD"/>
    <w:rsid w:val="009B3CE3"/>
    <w:rsid w:val="009B508F"/>
    <w:rsid w:val="009B58BD"/>
    <w:rsid w:val="009B5EEC"/>
    <w:rsid w:val="009E4867"/>
    <w:rsid w:val="009F5587"/>
    <w:rsid w:val="009F7B6D"/>
    <w:rsid w:val="00A01CC6"/>
    <w:rsid w:val="00A027B1"/>
    <w:rsid w:val="00A02864"/>
    <w:rsid w:val="00A141B1"/>
    <w:rsid w:val="00A22E96"/>
    <w:rsid w:val="00A32074"/>
    <w:rsid w:val="00A357BC"/>
    <w:rsid w:val="00A50C2B"/>
    <w:rsid w:val="00A51E65"/>
    <w:rsid w:val="00A71D23"/>
    <w:rsid w:val="00A73E79"/>
    <w:rsid w:val="00A75BE9"/>
    <w:rsid w:val="00A85A39"/>
    <w:rsid w:val="00A92A62"/>
    <w:rsid w:val="00A96B51"/>
    <w:rsid w:val="00A97F50"/>
    <w:rsid w:val="00AA2A98"/>
    <w:rsid w:val="00AA2F6E"/>
    <w:rsid w:val="00AB012B"/>
    <w:rsid w:val="00AC548E"/>
    <w:rsid w:val="00AD5DC7"/>
    <w:rsid w:val="00AD7034"/>
    <w:rsid w:val="00AD7ED1"/>
    <w:rsid w:val="00AF03C9"/>
    <w:rsid w:val="00AF316C"/>
    <w:rsid w:val="00AF7E18"/>
    <w:rsid w:val="00B04BE7"/>
    <w:rsid w:val="00B06656"/>
    <w:rsid w:val="00B07E8F"/>
    <w:rsid w:val="00B11210"/>
    <w:rsid w:val="00B133C0"/>
    <w:rsid w:val="00B15614"/>
    <w:rsid w:val="00B179CA"/>
    <w:rsid w:val="00B26188"/>
    <w:rsid w:val="00B30805"/>
    <w:rsid w:val="00B31EA6"/>
    <w:rsid w:val="00B37437"/>
    <w:rsid w:val="00B41782"/>
    <w:rsid w:val="00B418CE"/>
    <w:rsid w:val="00B50842"/>
    <w:rsid w:val="00B51261"/>
    <w:rsid w:val="00B54106"/>
    <w:rsid w:val="00B55BE8"/>
    <w:rsid w:val="00B56D5C"/>
    <w:rsid w:val="00B5703B"/>
    <w:rsid w:val="00B6191C"/>
    <w:rsid w:val="00B867D0"/>
    <w:rsid w:val="00B927AA"/>
    <w:rsid w:val="00B92DA4"/>
    <w:rsid w:val="00B96981"/>
    <w:rsid w:val="00BA2E45"/>
    <w:rsid w:val="00BB3E08"/>
    <w:rsid w:val="00BB469C"/>
    <w:rsid w:val="00BB52AD"/>
    <w:rsid w:val="00BB6853"/>
    <w:rsid w:val="00BB7BFD"/>
    <w:rsid w:val="00BD14DA"/>
    <w:rsid w:val="00BD608A"/>
    <w:rsid w:val="00BE0DF9"/>
    <w:rsid w:val="00BE6996"/>
    <w:rsid w:val="00BF03DC"/>
    <w:rsid w:val="00BF2EBF"/>
    <w:rsid w:val="00BF5029"/>
    <w:rsid w:val="00BF7F13"/>
    <w:rsid w:val="00C05002"/>
    <w:rsid w:val="00C05441"/>
    <w:rsid w:val="00C126CE"/>
    <w:rsid w:val="00C13DED"/>
    <w:rsid w:val="00C149A6"/>
    <w:rsid w:val="00C17CDB"/>
    <w:rsid w:val="00C20A7D"/>
    <w:rsid w:val="00C20EF6"/>
    <w:rsid w:val="00C27A75"/>
    <w:rsid w:val="00C332D2"/>
    <w:rsid w:val="00C35D16"/>
    <w:rsid w:val="00C369C1"/>
    <w:rsid w:val="00C40557"/>
    <w:rsid w:val="00C460C1"/>
    <w:rsid w:val="00C462D1"/>
    <w:rsid w:val="00C4740A"/>
    <w:rsid w:val="00C54FC7"/>
    <w:rsid w:val="00C61CF0"/>
    <w:rsid w:val="00C6231F"/>
    <w:rsid w:val="00C64897"/>
    <w:rsid w:val="00C6494B"/>
    <w:rsid w:val="00C7209B"/>
    <w:rsid w:val="00C81845"/>
    <w:rsid w:val="00C93FCD"/>
    <w:rsid w:val="00CA1C0D"/>
    <w:rsid w:val="00CA5EAA"/>
    <w:rsid w:val="00CB2419"/>
    <w:rsid w:val="00CC29CA"/>
    <w:rsid w:val="00CC4D03"/>
    <w:rsid w:val="00CC5A7E"/>
    <w:rsid w:val="00CD0CAB"/>
    <w:rsid w:val="00CD5D06"/>
    <w:rsid w:val="00CE18C4"/>
    <w:rsid w:val="00CE2FB0"/>
    <w:rsid w:val="00CF0B37"/>
    <w:rsid w:val="00CF1CAA"/>
    <w:rsid w:val="00CF29B7"/>
    <w:rsid w:val="00CF4892"/>
    <w:rsid w:val="00D06F6F"/>
    <w:rsid w:val="00D108DF"/>
    <w:rsid w:val="00D1097C"/>
    <w:rsid w:val="00D110F6"/>
    <w:rsid w:val="00D124DF"/>
    <w:rsid w:val="00D129FD"/>
    <w:rsid w:val="00D1584C"/>
    <w:rsid w:val="00D16618"/>
    <w:rsid w:val="00D2482D"/>
    <w:rsid w:val="00D248B8"/>
    <w:rsid w:val="00D2556A"/>
    <w:rsid w:val="00D314B6"/>
    <w:rsid w:val="00D32A63"/>
    <w:rsid w:val="00D43883"/>
    <w:rsid w:val="00D46CAC"/>
    <w:rsid w:val="00D47BF4"/>
    <w:rsid w:val="00D53EF4"/>
    <w:rsid w:val="00D5631E"/>
    <w:rsid w:val="00D56F27"/>
    <w:rsid w:val="00D61BED"/>
    <w:rsid w:val="00D64C63"/>
    <w:rsid w:val="00D71816"/>
    <w:rsid w:val="00D82B1D"/>
    <w:rsid w:val="00D910C3"/>
    <w:rsid w:val="00D92D47"/>
    <w:rsid w:val="00D940FA"/>
    <w:rsid w:val="00D95105"/>
    <w:rsid w:val="00DA33AB"/>
    <w:rsid w:val="00DA4E22"/>
    <w:rsid w:val="00DA54E2"/>
    <w:rsid w:val="00DB2E60"/>
    <w:rsid w:val="00DB547D"/>
    <w:rsid w:val="00DB7334"/>
    <w:rsid w:val="00DC0FD9"/>
    <w:rsid w:val="00DC464C"/>
    <w:rsid w:val="00DD6091"/>
    <w:rsid w:val="00DE4CB0"/>
    <w:rsid w:val="00DF7797"/>
    <w:rsid w:val="00E0388A"/>
    <w:rsid w:val="00E10A6D"/>
    <w:rsid w:val="00E164E1"/>
    <w:rsid w:val="00E17639"/>
    <w:rsid w:val="00E24784"/>
    <w:rsid w:val="00E3004B"/>
    <w:rsid w:val="00E3354A"/>
    <w:rsid w:val="00E33A5E"/>
    <w:rsid w:val="00E35C84"/>
    <w:rsid w:val="00E417DC"/>
    <w:rsid w:val="00E555D4"/>
    <w:rsid w:val="00E60D4B"/>
    <w:rsid w:val="00E62587"/>
    <w:rsid w:val="00E7788C"/>
    <w:rsid w:val="00E855EB"/>
    <w:rsid w:val="00E902D2"/>
    <w:rsid w:val="00E91F64"/>
    <w:rsid w:val="00EA29D2"/>
    <w:rsid w:val="00EA2B87"/>
    <w:rsid w:val="00EA65D0"/>
    <w:rsid w:val="00EB478D"/>
    <w:rsid w:val="00EC0DD7"/>
    <w:rsid w:val="00EC4CC0"/>
    <w:rsid w:val="00ED0764"/>
    <w:rsid w:val="00ED0BAD"/>
    <w:rsid w:val="00ED4948"/>
    <w:rsid w:val="00EE1318"/>
    <w:rsid w:val="00EF0D2F"/>
    <w:rsid w:val="00EF64CA"/>
    <w:rsid w:val="00F05CDC"/>
    <w:rsid w:val="00F14E98"/>
    <w:rsid w:val="00F231BE"/>
    <w:rsid w:val="00F2570E"/>
    <w:rsid w:val="00F273C8"/>
    <w:rsid w:val="00F31EAA"/>
    <w:rsid w:val="00F31F9A"/>
    <w:rsid w:val="00F323E1"/>
    <w:rsid w:val="00F363BD"/>
    <w:rsid w:val="00F4231A"/>
    <w:rsid w:val="00F433EC"/>
    <w:rsid w:val="00F56CEC"/>
    <w:rsid w:val="00F601C9"/>
    <w:rsid w:val="00F63694"/>
    <w:rsid w:val="00F70D36"/>
    <w:rsid w:val="00F7177E"/>
    <w:rsid w:val="00F72B5B"/>
    <w:rsid w:val="00F74971"/>
    <w:rsid w:val="00F77B72"/>
    <w:rsid w:val="00F8010F"/>
    <w:rsid w:val="00F8253C"/>
    <w:rsid w:val="00F8262E"/>
    <w:rsid w:val="00F84F62"/>
    <w:rsid w:val="00F957E2"/>
    <w:rsid w:val="00FA5A98"/>
    <w:rsid w:val="00FB170B"/>
    <w:rsid w:val="00FB56A5"/>
    <w:rsid w:val="00FB6D0D"/>
    <w:rsid w:val="00FC7BAF"/>
    <w:rsid w:val="00FD02FC"/>
    <w:rsid w:val="00FD25B3"/>
    <w:rsid w:val="00FD6536"/>
    <w:rsid w:val="00FD6C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C85D"/>
  <w15:chartTrackingRefBased/>
  <w15:docId w15:val="{E7C4AB0B-0EC6-47CC-971C-BFDA9BC0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5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D5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56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56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56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56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56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56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56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56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D56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56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56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56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56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56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56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56F1"/>
    <w:rPr>
      <w:rFonts w:eastAsiaTheme="majorEastAsia" w:cstheme="majorBidi"/>
      <w:color w:val="272727" w:themeColor="text1" w:themeTint="D8"/>
    </w:rPr>
  </w:style>
  <w:style w:type="paragraph" w:styleId="Ttulo">
    <w:name w:val="Title"/>
    <w:basedOn w:val="Normal"/>
    <w:next w:val="Normal"/>
    <w:link w:val="TtuloCar"/>
    <w:uiPriority w:val="10"/>
    <w:qFormat/>
    <w:rsid w:val="002D5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56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56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56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56F1"/>
    <w:pPr>
      <w:spacing w:before="160"/>
      <w:jc w:val="center"/>
    </w:pPr>
    <w:rPr>
      <w:i/>
      <w:iCs/>
      <w:color w:val="404040" w:themeColor="text1" w:themeTint="BF"/>
    </w:rPr>
  </w:style>
  <w:style w:type="character" w:customStyle="1" w:styleId="CitaCar">
    <w:name w:val="Cita Car"/>
    <w:basedOn w:val="Fuentedeprrafopredeter"/>
    <w:link w:val="Cita"/>
    <w:uiPriority w:val="29"/>
    <w:rsid w:val="002D56F1"/>
    <w:rPr>
      <w:i/>
      <w:iCs/>
      <w:color w:val="404040" w:themeColor="text1" w:themeTint="BF"/>
    </w:rPr>
  </w:style>
  <w:style w:type="paragraph" w:styleId="Prrafodelista">
    <w:name w:val="List Paragraph"/>
    <w:basedOn w:val="Normal"/>
    <w:uiPriority w:val="34"/>
    <w:qFormat/>
    <w:rsid w:val="002D56F1"/>
    <w:pPr>
      <w:ind w:left="720"/>
      <w:contextualSpacing/>
    </w:pPr>
  </w:style>
  <w:style w:type="character" w:styleId="nfasisintenso">
    <w:name w:val="Intense Emphasis"/>
    <w:basedOn w:val="Fuentedeprrafopredeter"/>
    <w:uiPriority w:val="21"/>
    <w:qFormat/>
    <w:rsid w:val="002D56F1"/>
    <w:rPr>
      <w:i/>
      <w:iCs/>
      <w:color w:val="0F4761" w:themeColor="accent1" w:themeShade="BF"/>
    </w:rPr>
  </w:style>
  <w:style w:type="paragraph" w:styleId="Citadestacada">
    <w:name w:val="Intense Quote"/>
    <w:basedOn w:val="Normal"/>
    <w:next w:val="Normal"/>
    <w:link w:val="CitadestacadaCar"/>
    <w:uiPriority w:val="30"/>
    <w:qFormat/>
    <w:rsid w:val="002D5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56F1"/>
    <w:rPr>
      <w:i/>
      <w:iCs/>
      <w:color w:val="0F4761" w:themeColor="accent1" w:themeShade="BF"/>
    </w:rPr>
  </w:style>
  <w:style w:type="character" w:styleId="Referenciaintensa">
    <w:name w:val="Intense Reference"/>
    <w:basedOn w:val="Fuentedeprrafopredeter"/>
    <w:uiPriority w:val="32"/>
    <w:qFormat/>
    <w:rsid w:val="002D56F1"/>
    <w:rPr>
      <w:b/>
      <w:bCs/>
      <w:smallCaps/>
      <w:color w:val="0F4761" w:themeColor="accent1" w:themeShade="BF"/>
      <w:spacing w:val="5"/>
    </w:rPr>
  </w:style>
  <w:style w:type="character" w:styleId="Hipervnculo">
    <w:name w:val="Hyperlink"/>
    <w:basedOn w:val="Fuentedeprrafopredeter"/>
    <w:uiPriority w:val="99"/>
    <w:unhideWhenUsed/>
    <w:rsid w:val="00175CA5"/>
    <w:rPr>
      <w:color w:val="467886" w:themeColor="hyperlink"/>
      <w:u w:val="single"/>
    </w:rPr>
  </w:style>
  <w:style w:type="character" w:styleId="Mencinsinresolver">
    <w:name w:val="Unresolved Mention"/>
    <w:basedOn w:val="Fuentedeprrafopredeter"/>
    <w:uiPriority w:val="99"/>
    <w:semiHidden/>
    <w:unhideWhenUsed/>
    <w:rsid w:val="00175CA5"/>
    <w:rPr>
      <w:color w:val="605E5C"/>
      <w:shd w:val="clear" w:color="auto" w:fill="E1DFDD"/>
    </w:rPr>
  </w:style>
  <w:style w:type="character" w:styleId="Hipervnculovisitado">
    <w:name w:val="FollowedHyperlink"/>
    <w:basedOn w:val="Fuentedeprrafopredeter"/>
    <w:uiPriority w:val="99"/>
    <w:semiHidden/>
    <w:unhideWhenUsed/>
    <w:rsid w:val="00DA54E2"/>
    <w:rPr>
      <w:color w:val="96607D" w:themeColor="followedHyperlink"/>
      <w:u w:val="single"/>
    </w:rPr>
  </w:style>
  <w:style w:type="paragraph" w:customStyle="1" w:styleId="ds-markdown-paragraph">
    <w:name w:val="ds-markdown-paragraph"/>
    <w:basedOn w:val="Normal"/>
    <w:rsid w:val="00CC29CA"/>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CC29CA"/>
    <w:rPr>
      <w:b/>
      <w:bCs/>
    </w:rPr>
  </w:style>
  <w:style w:type="character" w:customStyle="1" w:styleId="fontstyle01">
    <w:name w:val="fontstyle01"/>
    <w:basedOn w:val="Fuentedeprrafopredeter"/>
    <w:rsid w:val="00663847"/>
    <w:rPr>
      <w:rFonts w:ascii="Calibri-Bold" w:hAnsi="Calibri-Bold" w:hint="default"/>
      <w:b/>
      <w:bCs/>
      <w:i w:val="0"/>
      <w:iCs w:val="0"/>
      <w:color w:val="000000"/>
      <w:sz w:val="22"/>
      <w:szCs w:val="22"/>
    </w:rPr>
  </w:style>
  <w:style w:type="character" w:customStyle="1" w:styleId="fontstyle21">
    <w:name w:val="fontstyle21"/>
    <w:basedOn w:val="Fuentedeprrafopredeter"/>
    <w:rsid w:val="00663847"/>
    <w:rPr>
      <w:rFonts w:ascii="Calibri-BoldItalic" w:hAnsi="Calibri-BoldItalic" w:hint="default"/>
      <w:b/>
      <w:bCs/>
      <w:i/>
      <w:iCs/>
      <w:color w:val="000000"/>
      <w:sz w:val="22"/>
      <w:szCs w:val="22"/>
    </w:rPr>
  </w:style>
  <w:style w:type="paragraph" w:customStyle="1" w:styleId="Compact">
    <w:name w:val="Compact"/>
    <w:basedOn w:val="Textoindependiente"/>
    <w:qFormat/>
    <w:rsid w:val="00032781"/>
    <w:pPr>
      <w:spacing w:before="36" w:after="36" w:line="240" w:lineRule="auto"/>
    </w:pPr>
    <w:rPr>
      <w:kern w:val="0"/>
      <w:lang w:val="en-US"/>
      <w14:ligatures w14:val="none"/>
    </w:rPr>
  </w:style>
  <w:style w:type="table" w:customStyle="1" w:styleId="Table">
    <w:name w:val="Table"/>
    <w:semiHidden/>
    <w:unhideWhenUsed/>
    <w:qFormat/>
    <w:rsid w:val="00032781"/>
    <w:pPr>
      <w:spacing w:after="200" w:line="240" w:lineRule="auto"/>
    </w:pPr>
    <w:rPr>
      <w:kern w:val="0"/>
      <w:sz w:val="20"/>
      <w:szCs w:val="20"/>
      <w:lang w:val="en-US" w:eastAsia="es-CL"/>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Textoindependiente">
    <w:name w:val="Body Text"/>
    <w:basedOn w:val="Normal"/>
    <w:link w:val="TextoindependienteCar"/>
    <w:uiPriority w:val="99"/>
    <w:unhideWhenUsed/>
    <w:rsid w:val="00032781"/>
    <w:pPr>
      <w:spacing w:after="120"/>
    </w:pPr>
  </w:style>
  <w:style w:type="character" w:customStyle="1" w:styleId="TextoindependienteCar">
    <w:name w:val="Texto independiente Car"/>
    <w:basedOn w:val="Fuentedeprrafopredeter"/>
    <w:link w:val="Textoindependiente"/>
    <w:uiPriority w:val="99"/>
    <w:rsid w:val="0003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0767">
      <w:bodyDiv w:val="1"/>
      <w:marLeft w:val="0"/>
      <w:marRight w:val="0"/>
      <w:marTop w:val="0"/>
      <w:marBottom w:val="0"/>
      <w:divBdr>
        <w:top w:val="none" w:sz="0" w:space="0" w:color="auto"/>
        <w:left w:val="none" w:sz="0" w:space="0" w:color="auto"/>
        <w:bottom w:val="none" w:sz="0" w:space="0" w:color="auto"/>
        <w:right w:val="none" w:sz="0" w:space="0" w:color="auto"/>
      </w:divBdr>
    </w:div>
    <w:div w:id="266740886">
      <w:bodyDiv w:val="1"/>
      <w:marLeft w:val="0"/>
      <w:marRight w:val="0"/>
      <w:marTop w:val="0"/>
      <w:marBottom w:val="0"/>
      <w:divBdr>
        <w:top w:val="none" w:sz="0" w:space="0" w:color="auto"/>
        <w:left w:val="none" w:sz="0" w:space="0" w:color="auto"/>
        <w:bottom w:val="none" w:sz="0" w:space="0" w:color="auto"/>
        <w:right w:val="none" w:sz="0" w:space="0" w:color="auto"/>
      </w:divBdr>
    </w:div>
    <w:div w:id="389111938">
      <w:bodyDiv w:val="1"/>
      <w:marLeft w:val="0"/>
      <w:marRight w:val="0"/>
      <w:marTop w:val="0"/>
      <w:marBottom w:val="0"/>
      <w:divBdr>
        <w:top w:val="none" w:sz="0" w:space="0" w:color="auto"/>
        <w:left w:val="none" w:sz="0" w:space="0" w:color="auto"/>
        <w:bottom w:val="none" w:sz="0" w:space="0" w:color="auto"/>
        <w:right w:val="none" w:sz="0" w:space="0" w:color="auto"/>
      </w:divBdr>
    </w:div>
    <w:div w:id="414520876">
      <w:bodyDiv w:val="1"/>
      <w:marLeft w:val="0"/>
      <w:marRight w:val="0"/>
      <w:marTop w:val="0"/>
      <w:marBottom w:val="0"/>
      <w:divBdr>
        <w:top w:val="none" w:sz="0" w:space="0" w:color="auto"/>
        <w:left w:val="none" w:sz="0" w:space="0" w:color="auto"/>
        <w:bottom w:val="none" w:sz="0" w:space="0" w:color="auto"/>
        <w:right w:val="none" w:sz="0" w:space="0" w:color="auto"/>
      </w:divBdr>
    </w:div>
    <w:div w:id="541748367">
      <w:bodyDiv w:val="1"/>
      <w:marLeft w:val="0"/>
      <w:marRight w:val="0"/>
      <w:marTop w:val="0"/>
      <w:marBottom w:val="0"/>
      <w:divBdr>
        <w:top w:val="none" w:sz="0" w:space="0" w:color="auto"/>
        <w:left w:val="none" w:sz="0" w:space="0" w:color="auto"/>
        <w:bottom w:val="none" w:sz="0" w:space="0" w:color="auto"/>
        <w:right w:val="none" w:sz="0" w:space="0" w:color="auto"/>
      </w:divBdr>
    </w:div>
    <w:div w:id="632756823">
      <w:bodyDiv w:val="1"/>
      <w:marLeft w:val="0"/>
      <w:marRight w:val="0"/>
      <w:marTop w:val="0"/>
      <w:marBottom w:val="0"/>
      <w:divBdr>
        <w:top w:val="none" w:sz="0" w:space="0" w:color="auto"/>
        <w:left w:val="none" w:sz="0" w:space="0" w:color="auto"/>
        <w:bottom w:val="none" w:sz="0" w:space="0" w:color="auto"/>
        <w:right w:val="none" w:sz="0" w:space="0" w:color="auto"/>
      </w:divBdr>
    </w:div>
    <w:div w:id="760562046">
      <w:bodyDiv w:val="1"/>
      <w:marLeft w:val="0"/>
      <w:marRight w:val="0"/>
      <w:marTop w:val="0"/>
      <w:marBottom w:val="0"/>
      <w:divBdr>
        <w:top w:val="none" w:sz="0" w:space="0" w:color="auto"/>
        <w:left w:val="none" w:sz="0" w:space="0" w:color="auto"/>
        <w:bottom w:val="none" w:sz="0" w:space="0" w:color="auto"/>
        <w:right w:val="none" w:sz="0" w:space="0" w:color="auto"/>
      </w:divBdr>
    </w:div>
    <w:div w:id="764301594">
      <w:bodyDiv w:val="1"/>
      <w:marLeft w:val="0"/>
      <w:marRight w:val="0"/>
      <w:marTop w:val="0"/>
      <w:marBottom w:val="0"/>
      <w:divBdr>
        <w:top w:val="none" w:sz="0" w:space="0" w:color="auto"/>
        <w:left w:val="none" w:sz="0" w:space="0" w:color="auto"/>
        <w:bottom w:val="none" w:sz="0" w:space="0" w:color="auto"/>
        <w:right w:val="none" w:sz="0" w:space="0" w:color="auto"/>
      </w:divBdr>
    </w:div>
    <w:div w:id="777719050">
      <w:bodyDiv w:val="1"/>
      <w:marLeft w:val="0"/>
      <w:marRight w:val="0"/>
      <w:marTop w:val="0"/>
      <w:marBottom w:val="0"/>
      <w:divBdr>
        <w:top w:val="none" w:sz="0" w:space="0" w:color="auto"/>
        <w:left w:val="none" w:sz="0" w:space="0" w:color="auto"/>
        <w:bottom w:val="none" w:sz="0" w:space="0" w:color="auto"/>
        <w:right w:val="none" w:sz="0" w:space="0" w:color="auto"/>
      </w:divBdr>
    </w:div>
    <w:div w:id="831144593">
      <w:bodyDiv w:val="1"/>
      <w:marLeft w:val="0"/>
      <w:marRight w:val="0"/>
      <w:marTop w:val="0"/>
      <w:marBottom w:val="0"/>
      <w:divBdr>
        <w:top w:val="none" w:sz="0" w:space="0" w:color="auto"/>
        <w:left w:val="none" w:sz="0" w:space="0" w:color="auto"/>
        <w:bottom w:val="none" w:sz="0" w:space="0" w:color="auto"/>
        <w:right w:val="none" w:sz="0" w:space="0" w:color="auto"/>
      </w:divBdr>
    </w:div>
    <w:div w:id="993408207">
      <w:bodyDiv w:val="1"/>
      <w:marLeft w:val="0"/>
      <w:marRight w:val="0"/>
      <w:marTop w:val="0"/>
      <w:marBottom w:val="0"/>
      <w:divBdr>
        <w:top w:val="none" w:sz="0" w:space="0" w:color="auto"/>
        <w:left w:val="none" w:sz="0" w:space="0" w:color="auto"/>
        <w:bottom w:val="none" w:sz="0" w:space="0" w:color="auto"/>
        <w:right w:val="none" w:sz="0" w:space="0" w:color="auto"/>
      </w:divBdr>
    </w:div>
    <w:div w:id="1108550070">
      <w:bodyDiv w:val="1"/>
      <w:marLeft w:val="0"/>
      <w:marRight w:val="0"/>
      <w:marTop w:val="0"/>
      <w:marBottom w:val="0"/>
      <w:divBdr>
        <w:top w:val="none" w:sz="0" w:space="0" w:color="auto"/>
        <w:left w:val="none" w:sz="0" w:space="0" w:color="auto"/>
        <w:bottom w:val="none" w:sz="0" w:space="0" w:color="auto"/>
        <w:right w:val="none" w:sz="0" w:space="0" w:color="auto"/>
      </w:divBdr>
    </w:div>
    <w:div w:id="1129665972">
      <w:bodyDiv w:val="1"/>
      <w:marLeft w:val="0"/>
      <w:marRight w:val="0"/>
      <w:marTop w:val="0"/>
      <w:marBottom w:val="0"/>
      <w:divBdr>
        <w:top w:val="none" w:sz="0" w:space="0" w:color="auto"/>
        <w:left w:val="none" w:sz="0" w:space="0" w:color="auto"/>
        <w:bottom w:val="none" w:sz="0" w:space="0" w:color="auto"/>
        <w:right w:val="none" w:sz="0" w:space="0" w:color="auto"/>
      </w:divBdr>
    </w:div>
    <w:div w:id="1185166415">
      <w:bodyDiv w:val="1"/>
      <w:marLeft w:val="0"/>
      <w:marRight w:val="0"/>
      <w:marTop w:val="0"/>
      <w:marBottom w:val="0"/>
      <w:divBdr>
        <w:top w:val="none" w:sz="0" w:space="0" w:color="auto"/>
        <w:left w:val="none" w:sz="0" w:space="0" w:color="auto"/>
        <w:bottom w:val="none" w:sz="0" w:space="0" w:color="auto"/>
        <w:right w:val="none" w:sz="0" w:space="0" w:color="auto"/>
      </w:divBdr>
    </w:div>
    <w:div w:id="1391540050">
      <w:bodyDiv w:val="1"/>
      <w:marLeft w:val="0"/>
      <w:marRight w:val="0"/>
      <w:marTop w:val="0"/>
      <w:marBottom w:val="0"/>
      <w:divBdr>
        <w:top w:val="none" w:sz="0" w:space="0" w:color="auto"/>
        <w:left w:val="none" w:sz="0" w:space="0" w:color="auto"/>
        <w:bottom w:val="none" w:sz="0" w:space="0" w:color="auto"/>
        <w:right w:val="none" w:sz="0" w:space="0" w:color="auto"/>
      </w:divBdr>
    </w:div>
    <w:div w:id="1578049606">
      <w:bodyDiv w:val="1"/>
      <w:marLeft w:val="0"/>
      <w:marRight w:val="0"/>
      <w:marTop w:val="0"/>
      <w:marBottom w:val="0"/>
      <w:divBdr>
        <w:top w:val="none" w:sz="0" w:space="0" w:color="auto"/>
        <w:left w:val="none" w:sz="0" w:space="0" w:color="auto"/>
        <w:bottom w:val="none" w:sz="0" w:space="0" w:color="auto"/>
        <w:right w:val="none" w:sz="0" w:space="0" w:color="auto"/>
      </w:divBdr>
    </w:div>
    <w:div w:id="1719548574">
      <w:bodyDiv w:val="1"/>
      <w:marLeft w:val="0"/>
      <w:marRight w:val="0"/>
      <w:marTop w:val="0"/>
      <w:marBottom w:val="0"/>
      <w:divBdr>
        <w:top w:val="none" w:sz="0" w:space="0" w:color="auto"/>
        <w:left w:val="none" w:sz="0" w:space="0" w:color="auto"/>
        <w:bottom w:val="none" w:sz="0" w:space="0" w:color="auto"/>
        <w:right w:val="none" w:sz="0" w:space="0" w:color="auto"/>
      </w:divBdr>
    </w:div>
    <w:div w:id="1901404922">
      <w:bodyDiv w:val="1"/>
      <w:marLeft w:val="0"/>
      <w:marRight w:val="0"/>
      <w:marTop w:val="0"/>
      <w:marBottom w:val="0"/>
      <w:divBdr>
        <w:top w:val="none" w:sz="0" w:space="0" w:color="auto"/>
        <w:left w:val="none" w:sz="0" w:space="0" w:color="auto"/>
        <w:bottom w:val="none" w:sz="0" w:space="0" w:color="auto"/>
        <w:right w:val="none" w:sz="0" w:space="0" w:color="auto"/>
      </w:divBdr>
    </w:div>
    <w:div w:id="2054768544">
      <w:bodyDiv w:val="1"/>
      <w:marLeft w:val="0"/>
      <w:marRight w:val="0"/>
      <w:marTop w:val="0"/>
      <w:marBottom w:val="0"/>
      <w:divBdr>
        <w:top w:val="none" w:sz="0" w:space="0" w:color="auto"/>
        <w:left w:val="none" w:sz="0" w:space="0" w:color="auto"/>
        <w:bottom w:val="none" w:sz="0" w:space="0" w:color="auto"/>
        <w:right w:val="none" w:sz="0" w:space="0" w:color="auto"/>
      </w:divBdr>
    </w:div>
    <w:div w:id="20602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cl" TargetMode="External"/><Relationship Id="rId3" Type="http://schemas.openxmlformats.org/officeDocument/2006/relationships/settings" Target="settings.xml"/><Relationship Id="rId7" Type="http://schemas.openxmlformats.org/officeDocument/2006/relationships/hyperlink" Target="https://www.diarioconstitucional.cl/articulos/resulta-aplicable-para-el-sector-publico-la-ley-n%CB%9A-21-645-que-modifico-el-codigo-del-trabajo-en-lo-relativo-a-la-proteccion-a-la-maternidad-paternidad-y-vida-familiar-y-regula-un-regim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raloria.cl" TargetMode="External"/><Relationship Id="rId11" Type="http://schemas.openxmlformats.org/officeDocument/2006/relationships/fontTable" Target="fontTable.xml"/><Relationship Id="rId5" Type="http://schemas.openxmlformats.org/officeDocument/2006/relationships/hyperlink" Target="https://rjd.uandes.cl/index.php/rjduandes/article/view/87" TargetMode="External"/><Relationship Id="rId10" Type="http://schemas.openxmlformats.org/officeDocument/2006/relationships/hyperlink" Target="https://www.bcn.cl/leychile/navegar?idNorma=1199604" TargetMode="External"/><Relationship Id="rId4" Type="http://schemas.openxmlformats.org/officeDocument/2006/relationships/webSettings" Target="webSettings.xml"/><Relationship Id="rId9" Type="http://schemas.openxmlformats.org/officeDocument/2006/relationships/hyperlink" Target="https://www.bcn.cl/leychile/navegar?idNorma=11437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4201</TotalTime>
  <Pages>16</Pages>
  <Words>3172</Words>
  <Characters>17451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Cristóbal Pizarro</dc:creator>
  <cp:keywords/>
  <dc:description/>
  <cp:lastModifiedBy>Cristóbal Pizarro</cp:lastModifiedBy>
  <cp:revision>567</cp:revision>
  <cp:lastPrinted>2025-07-29T03:01:00Z</cp:lastPrinted>
  <dcterms:created xsi:type="dcterms:W3CDTF">2025-04-06T18:53:00Z</dcterms:created>
  <dcterms:modified xsi:type="dcterms:W3CDTF">2025-09-08T19:33:00Z</dcterms:modified>
</cp:coreProperties>
</file>