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379A" w:rsidRDefault="00E9379A" w:rsidP="00EC4DA3">
      <w:pPr>
        <w:pStyle w:val="headingfm1"/>
      </w:pPr>
    </w:p>
    <w:p w:rsidR="00E85D15" w:rsidRDefault="00E85D15" w:rsidP="00EB7082">
      <w:pPr>
        <w:pStyle w:val="textcentered"/>
      </w:pPr>
    </w:p>
    <w:p w:rsidR="00E85D15" w:rsidRDefault="00E85D15" w:rsidP="00EB7082">
      <w:pPr>
        <w:pStyle w:val="textcentered"/>
      </w:pPr>
    </w:p>
    <w:p w:rsidR="00E85D15" w:rsidRPr="00E85D15" w:rsidRDefault="00E85D15" w:rsidP="00EB7082">
      <w:pPr>
        <w:pStyle w:val="textcentered"/>
      </w:pPr>
    </w:p>
    <w:p w:rsidR="00E9379A" w:rsidRDefault="00E85D15" w:rsidP="00EC4DA3">
      <w:pPr>
        <w:pStyle w:val="headingfm1"/>
      </w:pPr>
      <w:r>
        <w:t>Factors in Interest Rate Models</w:t>
      </w:r>
    </w:p>
    <w:p w:rsidR="00E9379A" w:rsidRDefault="00E9379A" w:rsidP="00EB7082">
      <w:pPr>
        <w:pStyle w:val="textcentered"/>
      </w:pPr>
    </w:p>
    <w:p w:rsidR="00E9379A" w:rsidRDefault="00E9379A" w:rsidP="00EB7082">
      <w:pPr>
        <w:pStyle w:val="textcentered"/>
      </w:pPr>
    </w:p>
    <w:p w:rsidR="00E9379A" w:rsidRDefault="00E9379A">
      <w:pPr>
        <w:pStyle w:val="headingfm2"/>
      </w:pPr>
      <w:r>
        <w:t>by</w:t>
      </w:r>
    </w:p>
    <w:p w:rsidR="00E9379A" w:rsidRDefault="00E85D15" w:rsidP="00EC4DA3">
      <w:pPr>
        <w:pStyle w:val="headingfm1"/>
      </w:pPr>
      <w:r>
        <w:t>Gregory Morneault</w:t>
      </w:r>
    </w:p>
    <w:p w:rsidR="00E9379A" w:rsidRDefault="00E9379A" w:rsidP="00EB7082">
      <w:pPr>
        <w:pStyle w:val="textcentered"/>
      </w:pPr>
    </w:p>
    <w:p w:rsidR="00E85D15" w:rsidRDefault="00E85D15" w:rsidP="00EB7082">
      <w:pPr>
        <w:pStyle w:val="textcentered"/>
      </w:pPr>
    </w:p>
    <w:p w:rsidR="00E9379A" w:rsidRDefault="00E9379A" w:rsidP="00EB7082">
      <w:pPr>
        <w:pStyle w:val="textcentered"/>
      </w:pPr>
    </w:p>
    <w:p w:rsidR="00E9379A" w:rsidRDefault="00E9379A" w:rsidP="00EB7082">
      <w:pPr>
        <w:pStyle w:val="textcentered"/>
      </w:pPr>
    </w:p>
    <w:p w:rsidR="00E85D15" w:rsidRDefault="00E85D15" w:rsidP="00EB7082">
      <w:pPr>
        <w:pStyle w:val="textcentered"/>
      </w:pPr>
    </w:p>
    <w:p w:rsidR="00E9379A" w:rsidRDefault="00E9379A" w:rsidP="00EB7082">
      <w:pPr>
        <w:pStyle w:val="textcentered"/>
      </w:pPr>
    </w:p>
    <w:p w:rsidR="00E9379A" w:rsidRDefault="00E85D15" w:rsidP="00EC4DA3">
      <w:pPr>
        <w:pStyle w:val="headingfm1"/>
      </w:pPr>
      <w:r>
        <w:t>Certificate in Quantitative Finance</w:t>
      </w:r>
    </w:p>
    <w:p w:rsidR="00E9379A" w:rsidRDefault="00E85D15" w:rsidP="00EC4DA3">
      <w:pPr>
        <w:pStyle w:val="headingfm1"/>
      </w:pPr>
      <w:r>
        <w:t>January 2015</w:t>
      </w:r>
    </w:p>
    <w:p w:rsidR="00E9379A" w:rsidRDefault="00E9379A" w:rsidP="00BC61F9">
      <w:pPr>
        <w:pStyle w:val="headingfm2"/>
      </w:pPr>
      <w:r>
        <w:br w:type="page"/>
      </w:r>
    </w:p>
    <w:p w:rsidR="00E9379A" w:rsidRDefault="00E9379A">
      <w:pPr>
        <w:pStyle w:val="headingfm2"/>
      </w:pPr>
      <w:r>
        <w:lastRenderedPageBreak/>
        <w:t>Table of Contents</w:t>
      </w:r>
    </w:p>
    <w:p w:rsidR="00190794" w:rsidRDefault="009D74B4">
      <w:pPr>
        <w:pStyle w:val="TOC1"/>
        <w:rPr>
          <w:rFonts w:asciiTheme="minorHAnsi" w:eastAsiaTheme="minorEastAsia" w:hAnsiTheme="minorHAnsi" w:cstheme="minorBidi"/>
          <w:b w:val="0"/>
          <w:smallCaps w:val="0"/>
          <w:noProof/>
          <w:sz w:val="22"/>
          <w:szCs w:val="22"/>
        </w:rPr>
      </w:pPr>
      <w:r w:rsidRPr="009D74B4">
        <w:fldChar w:fldCharType="begin"/>
      </w:r>
      <w:r w:rsidR="00FC60FA">
        <w:instrText xml:space="preserve"> TOC \o "1-6" \f \u </w:instrText>
      </w:r>
      <w:r w:rsidRPr="009D74B4">
        <w:fldChar w:fldCharType="separate"/>
      </w:r>
      <w:r w:rsidR="00190794">
        <w:rPr>
          <w:noProof/>
        </w:rPr>
        <w:t>Data</w:t>
      </w:r>
      <w:r w:rsidR="00190794">
        <w:rPr>
          <w:noProof/>
        </w:rPr>
        <w:tab/>
      </w:r>
      <w:r w:rsidR="00190794">
        <w:rPr>
          <w:noProof/>
        </w:rPr>
        <w:fldChar w:fldCharType="begin"/>
      </w:r>
      <w:r w:rsidR="00190794">
        <w:rPr>
          <w:noProof/>
        </w:rPr>
        <w:instrText xml:space="preserve"> PAGEREF _Toc408844283 \h </w:instrText>
      </w:r>
      <w:r w:rsidR="00190794">
        <w:rPr>
          <w:noProof/>
        </w:rPr>
      </w:r>
      <w:r w:rsidR="00190794">
        <w:rPr>
          <w:noProof/>
        </w:rPr>
        <w:fldChar w:fldCharType="separate"/>
      </w:r>
      <w:r w:rsidR="00190794">
        <w:rPr>
          <w:noProof/>
        </w:rPr>
        <w:t>3</w:t>
      </w:r>
      <w:r w:rsidR="00190794">
        <w:rPr>
          <w:noProof/>
        </w:rPr>
        <w:fldChar w:fldCharType="end"/>
      </w:r>
    </w:p>
    <w:p w:rsidR="00190794" w:rsidRDefault="00190794">
      <w:pPr>
        <w:pStyle w:val="TOC1"/>
        <w:rPr>
          <w:rFonts w:asciiTheme="minorHAnsi" w:eastAsiaTheme="minorEastAsia" w:hAnsiTheme="minorHAnsi" w:cstheme="minorBidi"/>
          <w:b w:val="0"/>
          <w:smallCaps w:val="0"/>
          <w:noProof/>
          <w:sz w:val="22"/>
          <w:szCs w:val="22"/>
        </w:rPr>
      </w:pPr>
      <w:r>
        <w:rPr>
          <w:noProof/>
        </w:rPr>
        <w:t>factorization and Calibration</w:t>
      </w:r>
      <w:r>
        <w:rPr>
          <w:noProof/>
        </w:rPr>
        <w:tab/>
      </w:r>
      <w:r>
        <w:rPr>
          <w:noProof/>
        </w:rPr>
        <w:fldChar w:fldCharType="begin"/>
      </w:r>
      <w:r>
        <w:rPr>
          <w:noProof/>
        </w:rPr>
        <w:instrText xml:space="preserve"> PAGEREF _Toc408844284 \h </w:instrText>
      </w:r>
      <w:r>
        <w:rPr>
          <w:noProof/>
        </w:rPr>
      </w:r>
      <w:r>
        <w:rPr>
          <w:noProof/>
        </w:rPr>
        <w:fldChar w:fldCharType="separate"/>
      </w:r>
      <w:r>
        <w:rPr>
          <w:noProof/>
        </w:rPr>
        <w:t>4</w:t>
      </w:r>
      <w:r>
        <w:rPr>
          <w:noProof/>
        </w:rPr>
        <w:fldChar w:fldCharType="end"/>
      </w:r>
    </w:p>
    <w:p w:rsidR="00190794" w:rsidRDefault="00190794">
      <w:pPr>
        <w:pStyle w:val="TOC3"/>
        <w:rPr>
          <w:rFonts w:asciiTheme="minorHAnsi" w:eastAsiaTheme="minorEastAsia" w:hAnsiTheme="minorHAnsi" w:cstheme="minorBidi"/>
          <w:noProof/>
          <w:sz w:val="22"/>
          <w:szCs w:val="22"/>
        </w:rPr>
      </w:pPr>
      <w:r>
        <w:rPr>
          <w:noProof/>
        </w:rPr>
        <w:t>Principal Component Analysis</w:t>
      </w:r>
      <w:r>
        <w:rPr>
          <w:noProof/>
        </w:rPr>
        <w:tab/>
      </w:r>
      <w:r>
        <w:rPr>
          <w:noProof/>
        </w:rPr>
        <w:fldChar w:fldCharType="begin"/>
      </w:r>
      <w:r>
        <w:rPr>
          <w:noProof/>
        </w:rPr>
        <w:instrText xml:space="preserve"> PAGEREF _Toc408844285 \h </w:instrText>
      </w:r>
      <w:r>
        <w:rPr>
          <w:noProof/>
        </w:rPr>
      </w:r>
      <w:r>
        <w:rPr>
          <w:noProof/>
        </w:rPr>
        <w:fldChar w:fldCharType="separate"/>
      </w:r>
      <w:r>
        <w:rPr>
          <w:noProof/>
        </w:rPr>
        <w:t>4</w:t>
      </w:r>
      <w:r>
        <w:rPr>
          <w:noProof/>
        </w:rPr>
        <w:fldChar w:fldCharType="end"/>
      </w:r>
    </w:p>
    <w:p w:rsidR="00190794" w:rsidRDefault="00190794">
      <w:pPr>
        <w:pStyle w:val="TOC3"/>
        <w:rPr>
          <w:rFonts w:asciiTheme="minorHAnsi" w:eastAsiaTheme="minorEastAsia" w:hAnsiTheme="minorHAnsi" w:cstheme="minorBidi"/>
          <w:noProof/>
          <w:sz w:val="22"/>
          <w:szCs w:val="22"/>
        </w:rPr>
      </w:pPr>
      <w:r>
        <w:rPr>
          <w:noProof/>
        </w:rPr>
        <w:t>Volatility Functions</w:t>
      </w:r>
      <w:r>
        <w:rPr>
          <w:noProof/>
        </w:rPr>
        <w:tab/>
      </w:r>
      <w:r>
        <w:rPr>
          <w:noProof/>
        </w:rPr>
        <w:fldChar w:fldCharType="begin"/>
      </w:r>
      <w:r>
        <w:rPr>
          <w:noProof/>
        </w:rPr>
        <w:instrText xml:space="preserve"> PAGEREF _Toc408844286 \h </w:instrText>
      </w:r>
      <w:r>
        <w:rPr>
          <w:noProof/>
        </w:rPr>
      </w:r>
      <w:r>
        <w:rPr>
          <w:noProof/>
        </w:rPr>
        <w:fldChar w:fldCharType="separate"/>
      </w:r>
      <w:r>
        <w:rPr>
          <w:noProof/>
        </w:rPr>
        <w:t>7</w:t>
      </w:r>
      <w:r>
        <w:rPr>
          <w:noProof/>
        </w:rPr>
        <w:fldChar w:fldCharType="end"/>
      </w:r>
    </w:p>
    <w:p w:rsidR="00190794" w:rsidRDefault="00190794">
      <w:pPr>
        <w:pStyle w:val="TOC3"/>
        <w:rPr>
          <w:rFonts w:asciiTheme="minorHAnsi" w:eastAsiaTheme="minorEastAsia" w:hAnsiTheme="minorHAnsi" w:cstheme="minorBidi"/>
          <w:noProof/>
          <w:sz w:val="22"/>
          <w:szCs w:val="22"/>
        </w:rPr>
      </w:pPr>
      <w:r>
        <w:rPr>
          <w:noProof/>
        </w:rPr>
        <w:t>Drift Function</w:t>
      </w:r>
      <w:r>
        <w:rPr>
          <w:noProof/>
        </w:rPr>
        <w:tab/>
      </w:r>
      <w:r>
        <w:rPr>
          <w:noProof/>
        </w:rPr>
        <w:fldChar w:fldCharType="begin"/>
      </w:r>
      <w:r>
        <w:rPr>
          <w:noProof/>
        </w:rPr>
        <w:instrText xml:space="preserve"> PAGEREF _Toc408844287 \h </w:instrText>
      </w:r>
      <w:r>
        <w:rPr>
          <w:noProof/>
        </w:rPr>
      </w:r>
      <w:r>
        <w:rPr>
          <w:noProof/>
        </w:rPr>
        <w:fldChar w:fldCharType="separate"/>
      </w:r>
      <w:r>
        <w:rPr>
          <w:noProof/>
        </w:rPr>
        <w:t>10</w:t>
      </w:r>
      <w:r>
        <w:rPr>
          <w:noProof/>
        </w:rPr>
        <w:fldChar w:fldCharType="end"/>
      </w:r>
    </w:p>
    <w:p w:rsidR="00190794" w:rsidRDefault="00190794">
      <w:pPr>
        <w:pStyle w:val="TOC1"/>
        <w:rPr>
          <w:rFonts w:asciiTheme="minorHAnsi" w:eastAsiaTheme="minorEastAsia" w:hAnsiTheme="minorHAnsi" w:cstheme="minorBidi"/>
          <w:b w:val="0"/>
          <w:smallCaps w:val="0"/>
          <w:noProof/>
          <w:sz w:val="22"/>
          <w:szCs w:val="22"/>
        </w:rPr>
      </w:pPr>
      <w:r>
        <w:rPr>
          <w:noProof/>
        </w:rPr>
        <w:t>Random Number Generation</w:t>
      </w:r>
      <w:r>
        <w:rPr>
          <w:noProof/>
        </w:rPr>
        <w:tab/>
      </w:r>
      <w:r>
        <w:rPr>
          <w:noProof/>
        </w:rPr>
        <w:fldChar w:fldCharType="begin"/>
      </w:r>
      <w:r>
        <w:rPr>
          <w:noProof/>
        </w:rPr>
        <w:instrText xml:space="preserve"> PAGEREF _Toc408844288 \h </w:instrText>
      </w:r>
      <w:r>
        <w:rPr>
          <w:noProof/>
        </w:rPr>
      </w:r>
      <w:r>
        <w:rPr>
          <w:noProof/>
        </w:rPr>
        <w:fldChar w:fldCharType="separate"/>
      </w:r>
      <w:r>
        <w:rPr>
          <w:noProof/>
        </w:rPr>
        <w:t>11</w:t>
      </w:r>
      <w:r>
        <w:rPr>
          <w:noProof/>
        </w:rPr>
        <w:fldChar w:fldCharType="end"/>
      </w:r>
    </w:p>
    <w:p w:rsidR="00190794" w:rsidRDefault="00190794">
      <w:pPr>
        <w:pStyle w:val="TOC1"/>
        <w:rPr>
          <w:rFonts w:asciiTheme="minorHAnsi" w:eastAsiaTheme="minorEastAsia" w:hAnsiTheme="minorHAnsi" w:cstheme="minorBidi"/>
          <w:b w:val="0"/>
          <w:smallCaps w:val="0"/>
          <w:noProof/>
          <w:sz w:val="22"/>
          <w:szCs w:val="22"/>
        </w:rPr>
      </w:pPr>
      <w:r>
        <w:rPr>
          <w:noProof/>
        </w:rPr>
        <w:t>Forward Rate Construction</w:t>
      </w:r>
      <w:r>
        <w:rPr>
          <w:noProof/>
        </w:rPr>
        <w:tab/>
      </w:r>
      <w:r>
        <w:rPr>
          <w:noProof/>
        </w:rPr>
        <w:fldChar w:fldCharType="begin"/>
      </w:r>
      <w:r>
        <w:rPr>
          <w:noProof/>
        </w:rPr>
        <w:instrText xml:space="preserve"> PAGEREF _Toc408844289 \h </w:instrText>
      </w:r>
      <w:r>
        <w:rPr>
          <w:noProof/>
        </w:rPr>
      </w:r>
      <w:r>
        <w:rPr>
          <w:noProof/>
        </w:rPr>
        <w:fldChar w:fldCharType="separate"/>
      </w:r>
      <w:r>
        <w:rPr>
          <w:noProof/>
        </w:rPr>
        <w:t>13</w:t>
      </w:r>
      <w:r>
        <w:rPr>
          <w:noProof/>
        </w:rPr>
        <w:fldChar w:fldCharType="end"/>
      </w:r>
    </w:p>
    <w:p w:rsidR="00190794" w:rsidRDefault="00190794">
      <w:pPr>
        <w:pStyle w:val="TOC1"/>
        <w:rPr>
          <w:rFonts w:asciiTheme="minorHAnsi" w:eastAsiaTheme="minorEastAsia" w:hAnsiTheme="minorHAnsi" w:cstheme="minorBidi"/>
          <w:b w:val="0"/>
          <w:smallCaps w:val="0"/>
          <w:noProof/>
          <w:sz w:val="22"/>
          <w:szCs w:val="22"/>
        </w:rPr>
      </w:pPr>
      <w:r>
        <w:rPr>
          <w:noProof/>
        </w:rPr>
        <w:t>Monte Carlo</w:t>
      </w:r>
      <w:r>
        <w:rPr>
          <w:noProof/>
        </w:rPr>
        <w:tab/>
      </w:r>
      <w:r>
        <w:rPr>
          <w:noProof/>
        </w:rPr>
        <w:fldChar w:fldCharType="begin"/>
      </w:r>
      <w:r>
        <w:rPr>
          <w:noProof/>
        </w:rPr>
        <w:instrText xml:space="preserve"> PAGEREF _Toc408844290 \h </w:instrText>
      </w:r>
      <w:r>
        <w:rPr>
          <w:noProof/>
        </w:rPr>
      </w:r>
      <w:r>
        <w:rPr>
          <w:noProof/>
        </w:rPr>
        <w:fldChar w:fldCharType="separate"/>
      </w:r>
      <w:r>
        <w:rPr>
          <w:noProof/>
        </w:rPr>
        <w:t>17</w:t>
      </w:r>
      <w:r>
        <w:rPr>
          <w:noProof/>
        </w:rPr>
        <w:fldChar w:fldCharType="end"/>
      </w:r>
    </w:p>
    <w:p w:rsidR="00190794" w:rsidRDefault="00190794">
      <w:pPr>
        <w:pStyle w:val="TOC3"/>
        <w:rPr>
          <w:rFonts w:asciiTheme="minorHAnsi" w:eastAsiaTheme="minorEastAsia" w:hAnsiTheme="minorHAnsi" w:cstheme="minorBidi"/>
          <w:noProof/>
          <w:sz w:val="22"/>
          <w:szCs w:val="22"/>
        </w:rPr>
      </w:pPr>
      <w:r>
        <w:rPr>
          <w:noProof/>
        </w:rPr>
        <w:t>Convergence</w:t>
      </w:r>
      <w:r>
        <w:rPr>
          <w:noProof/>
        </w:rPr>
        <w:tab/>
      </w:r>
      <w:r>
        <w:rPr>
          <w:noProof/>
        </w:rPr>
        <w:fldChar w:fldCharType="begin"/>
      </w:r>
      <w:r>
        <w:rPr>
          <w:noProof/>
        </w:rPr>
        <w:instrText xml:space="preserve"> PAGEREF _Toc408844291 \h </w:instrText>
      </w:r>
      <w:r>
        <w:rPr>
          <w:noProof/>
        </w:rPr>
      </w:r>
      <w:r>
        <w:rPr>
          <w:noProof/>
        </w:rPr>
        <w:fldChar w:fldCharType="separate"/>
      </w:r>
      <w:r>
        <w:rPr>
          <w:noProof/>
        </w:rPr>
        <w:t>17</w:t>
      </w:r>
      <w:r>
        <w:rPr>
          <w:noProof/>
        </w:rPr>
        <w:fldChar w:fldCharType="end"/>
      </w:r>
    </w:p>
    <w:p w:rsidR="00190794" w:rsidRDefault="00190794">
      <w:pPr>
        <w:pStyle w:val="TOC3"/>
        <w:rPr>
          <w:rFonts w:asciiTheme="minorHAnsi" w:eastAsiaTheme="minorEastAsia" w:hAnsiTheme="minorHAnsi" w:cstheme="minorBidi"/>
          <w:noProof/>
          <w:sz w:val="22"/>
          <w:szCs w:val="22"/>
        </w:rPr>
      </w:pPr>
      <w:r>
        <w:rPr>
          <w:noProof/>
        </w:rPr>
        <w:t>Computation Time</w:t>
      </w:r>
      <w:r>
        <w:rPr>
          <w:noProof/>
        </w:rPr>
        <w:tab/>
      </w:r>
      <w:r>
        <w:rPr>
          <w:noProof/>
        </w:rPr>
        <w:fldChar w:fldCharType="begin"/>
      </w:r>
      <w:r>
        <w:rPr>
          <w:noProof/>
        </w:rPr>
        <w:instrText xml:space="preserve"> PAGEREF _Toc408844292 \h </w:instrText>
      </w:r>
      <w:r>
        <w:rPr>
          <w:noProof/>
        </w:rPr>
      </w:r>
      <w:r>
        <w:rPr>
          <w:noProof/>
        </w:rPr>
        <w:fldChar w:fldCharType="separate"/>
      </w:r>
      <w:r>
        <w:rPr>
          <w:noProof/>
        </w:rPr>
        <w:t>21</w:t>
      </w:r>
      <w:r>
        <w:rPr>
          <w:noProof/>
        </w:rPr>
        <w:fldChar w:fldCharType="end"/>
      </w:r>
    </w:p>
    <w:p w:rsidR="00190794" w:rsidRDefault="00190794">
      <w:pPr>
        <w:pStyle w:val="TOC1"/>
        <w:rPr>
          <w:rFonts w:asciiTheme="minorHAnsi" w:eastAsiaTheme="minorEastAsia" w:hAnsiTheme="minorHAnsi" w:cstheme="minorBidi"/>
          <w:b w:val="0"/>
          <w:smallCaps w:val="0"/>
          <w:noProof/>
          <w:sz w:val="22"/>
          <w:szCs w:val="22"/>
        </w:rPr>
      </w:pPr>
      <w:r>
        <w:rPr>
          <w:noProof/>
        </w:rPr>
        <w:t>Pricing</w:t>
      </w:r>
      <w:r>
        <w:rPr>
          <w:noProof/>
        </w:rPr>
        <w:tab/>
      </w:r>
      <w:r>
        <w:rPr>
          <w:noProof/>
        </w:rPr>
        <w:fldChar w:fldCharType="begin"/>
      </w:r>
      <w:r>
        <w:rPr>
          <w:noProof/>
        </w:rPr>
        <w:instrText xml:space="preserve"> PAGEREF _Toc408844293 \h </w:instrText>
      </w:r>
      <w:r>
        <w:rPr>
          <w:noProof/>
        </w:rPr>
      </w:r>
      <w:r>
        <w:rPr>
          <w:noProof/>
        </w:rPr>
        <w:fldChar w:fldCharType="separate"/>
      </w:r>
      <w:r>
        <w:rPr>
          <w:noProof/>
        </w:rPr>
        <w:t>21</w:t>
      </w:r>
      <w:r>
        <w:rPr>
          <w:noProof/>
        </w:rPr>
        <w:fldChar w:fldCharType="end"/>
      </w:r>
    </w:p>
    <w:p w:rsidR="00190794" w:rsidRDefault="00190794">
      <w:pPr>
        <w:pStyle w:val="TOC3"/>
        <w:rPr>
          <w:rFonts w:asciiTheme="minorHAnsi" w:eastAsiaTheme="minorEastAsia" w:hAnsiTheme="minorHAnsi" w:cstheme="minorBidi"/>
          <w:noProof/>
          <w:sz w:val="22"/>
          <w:szCs w:val="22"/>
        </w:rPr>
      </w:pPr>
      <w:r>
        <w:rPr>
          <w:noProof/>
        </w:rPr>
        <w:t>Caps and Floors</w:t>
      </w:r>
      <w:r>
        <w:rPr>
          <w:noProof/>
        </w:rPr>
        <w:tab/>
      </w:r>
      <w:r>
        <w:rPr>
          <w:noProof/>
        </w:rPr>
        <w:fldChar w:fldCharType="begin"/>
      </w:r>
      <w:r>
        <w:rPr>
          <w:noProof/>
        </w:rPr>
        <w:instrText xml:space="preserve"> PAGEREF _Toc408844294 \h </w:instrText>
      </w:r>
      <w:r>
        <w:rPr>
          <w:noProof/>
        </w:rPr>
      </w:r>
      <w:r>
        <w:rPr>
          <w:noProof/>
        </w:rPr>
        <w:fldChar w:fldCharType="separate"/>
      </w:r>
      <w:r>
        <w:rPr>
          <w:noProof/>
        </w:rPr>
        <w:t>21</w:t>
      </w:r>
      <w:r>
        <w:rPr>
          <w:noProof/>
        </w:rPr>
        <w:fldChar w:fldCharType="end"/>
      </w:r>
    </w:p>
    <w:p w:rsidR="00190794" w:rsidRDefault="00190794">
      <w:pPr>
        <w:pStyle w:val="TOC3"/>
        <w:rPr>
          <w:rFonts w:asciiTheme="minorHAnsi" w:eastAsiaTheme="minorEastAsia" w:hAnsiTheme="minorHAnsi" w:cstheme="minorBidi"/>
          <w:noProof/>
          <w:sz w:val="22"/>
          <w:szCs w:val="22"/>
        </w:rPr>
      </w:pPr>
      <w:r>
        <w:rPr>
          <w:noProof/>
        </w:rPr>
        <w:t>Implied Volatility</w:t>
      </w:r>
      <w:r>
        <w:rPr>
          <w:noProof/>
        </w:rPr>
        <w:tab/>
      </w:r>
      <w:r>
        <w:rPr>
          <w:noProof/>
        </w:rPr>
        <w:fldChar w:fldCharType="begin"/>
      </w:r>
      <w:r>
        <w:rPr>
          <w:noProof/>
        </w:rPr>
        <w:instrText xml:space="preserve"> PAGEREF _Toc408844295 \h </w:instrText>
      </w:r>
      <w:r>
        <w:rPr>
          <w:noProof/>
        </w:rPr>
      </w:r>
      <w:r>
        <w:rPr>
          <w:noProof/>
        </w:rPr>
        <w:fldChar w:fldCharType="separate"/>
      </w:r>
      <w:r>
        <w:rPr>
          <w:noProof/>
        </w:rPr>
        <w:t>24</w:t>
      </w:r>
      <w:r>
        <w:rPr>
          <w:noProof/>
        </w:rPr>
        <w:fldChar w:fldCharType="end"/>
      </w:r>
    </w:p>
    <w:p w:rsidR="00190794" w:rsidRDefault="00190794">
      <w:pPr>
        <w:pStyle w:val="TOC3"/>
        <w:rPr>
          <w:rFonts w:asciiTheme="minorHAnsi" w:eastAsiaTheme="minorEastAsia" w:hAnsiTheme="minorHAnsi" w:cstheme="minorBidi"/>
          <w:noProof/>
          <w:sz w:val="22"/>
          <w:szCs w:val="22"/>
        </w:rPr>
      </w:pPr>
      <w:r>
        <w:rPr>
          <w:noProof/>
        </w:rPr>
        <w:t>Vasicek Model</w:t>
      </w:r>
      <w:r>
        <w:rPr>
          <w:noProof/>
        </w:rPr>
        <w:tab/>
      </w:r>
      <w:r>
        <w:rPr>
          <w:noProof/>
        </w:rPr>
        <w:fldChar w:fldCharType="begin"/>
      </w:r>
      <w:r>
        <w:rPr>
          <w:noProof/>
        </w:rPr>
        <w:instrText xml:space="preserve"> PAGEREF _Toc408844296 \h </w:instrText>
      </w:r>
      <w:r>
        <w:rPr>
          <w:noProof/>
        </w:rPr>
      </w:r>
      <w:r>
        <w:rPr>
          <w:noProof/>
        </w:rPr>
        <w:fldChar w:fldCharType="separate"/>
      </w:r>
      <w:r>
        <w:rPr>
          <w:noProof/>
        </w:rPr>
        <w:t>27</w:t>
      </w:r>
      <w:r>
        <w:rPr>
          <w:noProof/>
        </w:rPr>
        <w:fldChar w:fldCharType="end"/>
      </w:r>
    </w:p>
    <w:p w:rsidR="00EB7082" w:rsidRDefault="009D74B4" w:rsidP="00EB7082">
      <w:pPr>
        <w:pStyle w:val="Heading2"/>
      </w:pPr>
      <w:r>
        <w:rPr>
          <w:b w:val="0"/>
          <w:sz w:val="24"/>
        </w:rPr>
        <w:fldChar w:fldCharType="end"/>
      </w:r>
      <w:r w:rsidR="00E9379A">
        <w:br w:type="page"/>
      </w:r>
    </w:p>
    <w:p w:rsidR="00B727CD" w:rsidRDefault="00B727CD" w:rsidP="00EC4DA3">
      <w:pPr>
        <w:pStyle w:val="Heading1"/>
      </w:pPr>
      <w:bookmarkStart w:id="0" w:name="_GoBack"/>
      <w:bookmarkStart w:id="1" w:name="_Toc408844283"/>
      <w:bookmarkEnd w:id="0"/>
      <w:r>
        <w:lastRenderedPageBreak/>
        <w:t>Data</w:t>
      </w:r>
      <w:bookmarkEnd w:id="1"/>
    </w:p>
    <w:p w:rsidR="005A3F15" w:rsidRPr="005A3F15" w:rsidRDefault="005A3F15" w:rsidP="005A3F15">
      <w:pPr>
        <w:pStyle w:val="text"/>
      </w:pPr>
      <w:r w:rsidRPr="005A3F15">
        <w:t xml:space="preserve">Forward rates data for the Pound Sterling pulled from the Bank of England </w:t>
      </w:r>
      <w:r w:rsidR="007034BC" w:rsidRPr="005A3F15">
        <w:t>site.</w:t>
      </w:r>
      <w:r w:rsidRPr="005A3F15">
        <w:t xml:space="preserve">  For the purposes of pricing caps and floors and zero coupon bonds, the Commercial Bank Liability Curve (BLC), considered to be a LIBOR equivalent, is used.</w:t>
      </w:r>
      <w:r w:rsidR="000E5289">
        <w:t xml:space="preserve">  </w:t>
      </w:r>
    </w:p>
    <w:p w:rsidR="001E505C" w:rsidRDefault="001E505C" w:rsidP="00624221">
      <w:pPr>
        <w:pStyle w:val="text"/>
      </w:pPr>
      <w:r>
        <w:t xml:space="preserve">Data from January 2012 to December 2013 was used in the </w:t>
      </w:r>
      <w:r w:rsidR="00190794">
        <w:t>calibration</w:t>
      </w:r>
      <w:r>
        <w:t xml:space="preserve"> of the model.  A weekly frequency (data points </w:t>
      </w:r>
      <w:r w:rsidR="00190794">
        <w:t>taken from the</w:t>
      </w:r>
      <w:r>
        <w:t xml:space="preserve"> Wednesday of each week) was used to limit the amount of noise in the movements of the rates – especially the short term </w:t>
      </w:r>
      <w:r w:rsidR="00190794">
        <w:t xml:space="preserve">part of the </w:t>
      </w:r>
      <w:r>
        <w:t>forward rate</w:t>
      </w:r>
      <w:r w:rsidR="00190794">
        <w:t xml:space="preserve"> curve</w:t>
      </w:r>
      <w:r>
        <w:t>.</w:t>
      </w:r>
      <w:r w:rsidR="00190794">
        <w:t xml:space="preserve">  Since the sample is pulled from</w:t>
      </w:r>
      <w:r>
        <w:t xml:space="preserve"> a low rate regime, even slight movements in the short term forward rate can have a significant impact on </w:t>
      </w:r>
      <w:r w:rsidR="00734098">
        <w:t>PCA results.</w:t>
      </w:r>
    </w:p>
    <w:p w:rsidR="009845B9" w:rsidRDefault="0007723D" w:rsidP="00734098">
      <w:pPr>
        <w:pStyle w:val="text"/>
        <w:keepNext/>
        <w:jc w:val="center"/>
      </w:pPr>
      <w:r>
        <w:t>Figure 1</w:t>
      </w:r>
      <w:r w:rsidR="009845B9" w:rsidRPr="00960BFC">
        <w:t xml:space="preserve">: </w:t>
      </w:r>
      <w:r w:rsidR="009845B9">
        <w:t xml:space="preserve">Historic Forward Rate </w:t>
      </w:r>
      <w:r w:rsidR="00EA6127">
        <w:t xml:space="preserve">Weekly </w:t>
      </w:r>
      <w:r w:rsidR="009845B9">
        <w:t>Movements</w:t>
      </w:r>
    </w:p>
    <w:p w:rsidR="00702BA0" w:rsidRDefault="00275D7A" w:rsidP="00275D7A">
      <w:pPr>
        <w:pStyle w:val="text"/>
        <w:jc w:val="center"/>
      </w:pPr>
      <w:r>
        <w:rPr>
          <w:noProof/>
        </w:rPr>
        <w:drawing>
          <wp:inline distT="0" distB="0" distL="0" distR="0">
            <wp:extent cx="3696542" cy="2820043"/>
            <wp:effectExtent l="19050" t="19050" r="18208" b="18407"/>
            <wp:docPr id="37" name="Picture 35" descr="C:\Users\Greg\Google Drive\Education\CQF\June 2014\Final Project\figures\historic_forward_rate_mov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Greg\Google Drive\Education\CQF\June 2014\Final Project\figures\historic_forward_rate_movements.png"/>
                    <pic:cNvPicPr>
                      <a:picLocks noChangeAspect="1" noChangeArrowheads="1"/>
                    </pic:cNvPicPr>
                  </pic:nvPicPr>
                  <pic:blipFill>
                    <a:blip r:embed="rId8" cstate="print"/>
                    <a:srcRect/>
                    <a:stretch>
                      <a:fillRect/>
                    </a:stretch>
                  </pic:blipFill>
                  <pic:spPr bwMode="auto">
                    <a:xfrm>
                      <a:off x="0" y="0"/>
                      <a:ext cx="3696542" cy="2820043"/>
                    </a:xfrm>
                    <a:prstGeom prst="rect">
                      <a:avLst/>
                    </a:prstGeom>
                    <a:noFill/>
                    <a:ln w="9525">
                      <a:solidFill>
                        <a:schemeClr val="tx1"/>
                      </a:solidFill>
                      <a:miter lim="800000"/>
                      <a:headEnd/>
                      <a:tailEnd/>
                    </a:ln>
                  </pic:spPr>
                </pic:pic>
              </a:graphicData>
            </a:graphic>
          </wp:inline>
        </w:drawing>
      </w:r>
    </w:p>
    <w:p w:rsidR="00682D5D" w:rsidRDefault="00682D5D" w:rsidP="00682D5D">
      <w:pPr>
        <w:pStyle w:val="text"/>
      </w:pPr>
      <w:r>
        <w:t xml:space="preserve">An examination of the historical weekly forward rates shows that there was </w:t>
      </w:r>
      <w:r w:rsidR="007034BC">
        <w:t>an</w:t>
      </w:r>
      <w:r>
        <w:t xml:space="preserve"> initial decrease and subsequent flattening of the 1 month forward rate.  The 5 and 10 year rates are highly correlated while the 1 month and 25 year rates demonstrate some degree of negative correlation.</w:t>
      </w:r>
    </w:p>
    <w:p w:rsidR="009845B9" w:rsidRDefault="0007723D" w:rsidP="00D179F5">
      <w:pPr>
        <w:pStyle w:val="Heading7"/>
        <w:keepNext/>
        <w:spacing w:after="0"/>
        <w:ind w:left="1267" w:hanging="1267"/>
        <w:jc w:val="center"/>
      </w:pPr>
      <w:r>
        <w:lastRenderedPageBreak/>
        <w:t>Table 1</w:t>
      </w:r>
      <w:r w:rsidR="00D179F5">
        <w:t>: Historic Forward Rate Correlation</w:t>
      </w:r>
      <w:r w:rsidR="00190794">
        <w:t xml:space="preserve"> Matrix</w:t>
      </w:r>
      <w:r w:rsidR="00D179F5">
        <w:t xml:space="preserve"> between Jan 2012 and Dec 2013 </w:t>
      </w:r>
    </w:p>
    <w:tbl>
      <w:tblPr>
        <w:tblW w:w="0" w:type="auto"/>
        <w:jc w:val="center"/>
        <w:tblInd w:w="96" w:type="dxa"/>
        <w:tblLook w:val="04A0"/>
      </w:tblPr>
      <w:tblGrid>
        <w:gridCol w:w="547"/>
        <w:gridCol w:w="785"/>
        <w:gridCol w:w="785"/>
        <w:gridCol w:w="785"/>
        <w:gridCol w:w="785"/>
      </w:tblGrid>
      <w:tr w:rsidR="00D179F5" w:rsidRPr="00D179F5" w:rsidTr="00D179F5">
        <w:trPr>
          <w:trHeight w:val="300"/>
          <w:jc w:val="center"/>
        </w:trPr>
        <w:tc>
          <w:tcPr>
            <w:tcW w:w="0" w:type="auto"/>
            <w:tcBorders>
              <w:top w:val="single" w:sz="8" w:space="0" w:color="auto"/>
              <w:left w:val="single" w:sz="8" w:space="0" w:color="auto"/>
              <w:bottom w:val="single" w:sz="4" w:space="0" w:color="auto"/>
              <w:right w:val="single" w:sz="4" w:space="0" w:color="auto"/>
            </w:tcBorders>
            <w:shd w:val="clear" w:color="auto" w:fill="auto"/>
            <w:noWrap/>
            <w:vAlign w:val="center"/>
            <w:hideMark/>
          </w:tcPr>
          <w:p w:rsidR="00D179F5" w:rsidRPr="00D179F5" w:rsidRDefault="00D179F5" w:rsidP="00D179F5">
            <w:pPr>
              <w:overflowPunct/>
              <w:autoSpaceDE/>
              <w:autoSpaceDN/>
              <w:adjustRightInd/>
              <w:jc w:val="center"/>
              <w:textAlignment w:val="auto"/>
              <w:rPr>
                <w:rFonts w:ascii="Calibri" w:hAnsi="Calibri"/>
                <w:color w:val="000000"/>
                <w:sz w:val="22"/>
                <w:szCs w:val="22"/>
              </w:rPr>
            </w:pPr>
            <w:r w:rsidRPr="00D179F5">
              <w:rPr>
                <w:rFonts w:ascii="Calibri" w:hAnsi="Calibri"/>
                <w:color w:val="000000"/>
                <w:sz w:val="22"/>
                <w:szCs w:val="22"/>
              </w:rPr>
              <w:t> </w:t>
            </w:r>
          </w:p>
        </w:tc>
        <w:tc>
          <w:tcPr>
            <w:tcW w:w="0" w:type="auto"/>
            <w:tcBorders>
              <w:top w:val="single" w:sz="8" w:space="0" w:color="auto"/>
              <w:left w:val="nil"/>
              <w:bottom w:val="single" w:sz="4" w:space="0" w:color="auto"/>
              <w:right w:val="single" w:sz="4" w:space="0" w:color="auto"/>
            </w:tcBorders>
            <w:shd w:val="clear" w:color="auto" w:fill="auto"/>
            <w:noWrap/>
            <w:vAlign w:val="center"/>
            <w:hideMark/>
          </w:tcPr>
          <w:p w:rsidR="00D179F5" w:rsidRPr="00D179F5" w:rsidRDefault="00D179F5" w:rsidP="00D179F5">
            <w:pPr>
              <w:overflowPunct/>
              <w:autoSpaceDE/>
              <w:autoSpaceDN/>
              <w:adjustRightInd/>
              <w:jc w:val="center"/>
              <w:textAlignment w:val="auto"/>
              <w:rPr>
                <w:rFonts w:ascii="Calibri" w:hAnsi="Calibri"/>
                <w:color w:val="000000"/>
                <w:sz w:val="22"/>
                <w:szCs w:val="22"/>
              </w:rPr>
            </w:pPr>
            <w:r w:rsidRPr="00D179F5">
              <w:rPr>
                <w:rFonts w:ascii="Calibri" w:hAnsi="Calibri"/>
                <w:color w:val="000000"/>
                <w:sz w:val="22"/>
                <w:szCs w:val="22"/>
              </w:rPr>
              <w:t>1M</w:t>
            </w:r>
          </w:p>
        </w:tc>
        <w:tc>
          <w:tcPr>
            <w:tcW w:w="0" w:type="auto"/>
            <w:tcBorders>
              <w:top w:val="single" w:sz="8" w:space="0" w:color="auto"/>
              <w:left w:val="nil"/>
              <w:bottom w:val="single" w:sz="4" w:space="0" w:color="auto"/>
              <w:right w:val="single" w:sz="4" w:space="0" w:color="auto"/>
            </w:tcBorders>
            <w:shd w:val="clear" w:color="auto" w:fill="auto"/>
            <w:noWrap/>
            <w:vAlign w:val="center"/>
            <w:hideMark/>
          </w:tcPr>
          <w:p w:rsidR="00D179F5" w:rsidRPr="00D179F5" w:rsidRDefault="00D179F5" w:rsidP="00D179F5">
            <w:pPr>
              <w:overflowPunct/>
              <w:autoSpaceDE/>
              <w:autoSpaceDN/>
              <w:adjustRightInd/>
              <w:jc w:val="center"/>
              <w:textAlignment w:val="auto"/>
              <w:rPr>
                <w:rFonts w:ascii="Calibri" w:hAnsi="Calibri"/>
                <w:color w:val="000000"/>
                <w:sz w:val="22"/>
                <w:szCs w:val="22"/>
              </w:rPr>
            </w:pPr>
            <w:r w:rsidRPr="00D179F5">
              <w:rPr>
                <w:rFonts w:ascii="Calibri" w:hAnsi="Calibri"/>
                <w:color w:val="000000"/>
                <w:sz w:val="22"/>
                <w:szCs w:val="22"/>
              </w:rPr>
              <w:t>5Y</w:t>
            </w:r>
          </w:p>
        </w:tc>
        <w:tc>
          <w:tcPr>
            <w:tcW w:w="0" w:type="auto"/>
            <w:tcBorders>
              <w:top w:val="single" w:sz="8" w:space="0" w:color="auto"/>
              <w:left w:val="nil"/>
              <w:bottom w:val="single" w:sz="4" w:space="0" w:color="auto"/>
              <w:right w:val="single" w:sz="4" w:space="0" w:color="auto"/>
            </w:tcBorders>
            <w:shd w:val="clear" w:color="auto" w:fill="auto"/>
            <w:noWrap/>
            <w:vAlign w:val="center"/>
            <w:hideMark/>
          </w:tcPr>
          <w:p w:rsidR="00D179F5" w:rsidRPr="00D179F5" w:rsidRDefault="00D179F5" w:rsidP="00D179F5">
            <w:pPr>
              <w:overflowPunct/>
              <w:autoSpaceDE/>
              <w:autoSpaceDN/>
              <w:adjustRightInd/>
              <w:jc w:val="center"/>
              <w:textAlignment w:val="auto"/>
              <w:rPr>
                <w:rFonts w:ascii="Calibri" w:hAnsi="Calibri"/>
                <w:color w:val="000000"/>
                <w:sz w:val="22"/>
                <w:szCs w:val="22"/>
              </w:rPr>
            </w:pPr>
            <w:r w:rsidRPr="00D179F5">
              <w:rPr>
                <w:rFonts w:ascii="Calibri" w:hAnsi="Calibri"/>
                <w:color w:val="000000"/>
                <w:sz w:val="22"/>
                <w:szCs w:val="22"/>
              </w:rPr>
              <w:t>10Y</w:t>
            </w:r>
          </w:p>
        </w:tc>
        <w:tc>
          <w:tcPr>
            <w:tcW w:w="0" w:type="auto"/>
            <w:tcBorders>
              <w:top w:val="single" w:sz="8" w:space="0" w:color="auto"/>
              <w:left w:val="nil"/>
              <w:bottom w:val="single" w:sz="4" w:space="0" w:color="auto"/>
              <w:right w:val="single" w:sz="8" w:space="0" w:color="auto"/>
            </w:tcBorders>
            <w:shd w:val="clear" w:color="auto" w:fill="auto"/>
            <w:noWrap/>
            <w:vAlign w:val="center"/>
            <w:hideMark/>
          </w:tcPr>
          <w:p w:rsidR="00D179F5" w:rsidRPr="00D179F5" w:rsidRDefault="00D179F5" w:rsidP="00D179F5">
            <w:pPr>
              <w:overflowPunct/>
              <w:autoSpaceDE/>
              <w:autoSpaceDN/>
              <w:adjustRightInd/>
              <w:jc w:val="center"/>
              <w:textAlignment w:val="auto"/>
              <w:rPr>
                <w:rFonts w:ascii="Calibri" w:hAnsi="Calibri"/>
                <w:color w:val="000000"/>
                <w:sz w:val="22"/>
                <w:szCs w:val="22"/>
              </w:rPr>
            </w:pPr>
            <w:r w:rsidRPr="00D179F5">
              <w:rPr>
                <w:rFonts w:ascii="Calibri" w:hAnsi="Calibri"/>
                <w:color w:val="000000"/>
                <w:sz w:val="22"/>
                <w:szCs w:val="22"/>
              </w:rPr>
              <w:t>25Y</w:t>
            </w:r>
          </w:p>
        </w:tc>
      </w:tr>
      <w:tr w:rsidR="00D179F5" w:rsidRPr="00D179F5" w:rsidTr="00D179F5">
        <w:trPr>
          <w:trHeight w:val="300"/>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rsidR="00D179F5" w:rsidRPr="00D179F5" w:rsidRDefault="00D179F5" w:rsidP="00D179F5">
            <w:pPr>
              <w:overflowPunct/>
              <w:autoSpaceDE/>
              <w:autoSpaceDN/>
              <w:adjustRightInd/>
              <w:jc w:val="center"/>
              <w:textAlignment w:val="auto"/>
              <w:rPr>
                <w:rFonts w:ascii="Calibri" w:hAnsi="Calibri"/>
                <w:color w:val="000000"/>
                <w:sz w:val="22"/>
                <w:szCs w:val="22"/>
              </w:rPr>
            </w:pPr>
            <w:r w:rsidRPr="00D179F5">
              <w:rPr>
                <w:rFonts w:ascii="Calibri" w:hAnsi="Calibri"/>
                <w:color w:val="000000"/>
                <w:sz w:val="22"/>
                <w:szCs w:val="22"/>
              </w:rPr>
              <w:t>1M</w:t>
            </w:r>
          </w:p>
        </w:tc>
        <w:tc>
          <w:tcPr>
            <w:tcW w:w="0" w:type="auto"/>
            <w:tcBorders>
              <w:top w:val="nil"/>
              <w:left w:val="nil"/>
              <w:bottom w:val="single" w:sz="4" w:space="0" w:color="auto"/>
              <w:right w:val="single" w:sz="4" w:space="0" w:color="auto"/>
            </w:tcBorders>
            <w:shd w:val="clear" w:color="auto" w:fill="auto"/>
            <w:noWrap/>
            <w:vAlign w:val="center"/>
            <w:hideMark/>
          </w:tcPr>
          <w:p w:rsidR="00D179F5" w:rsidRPr="00D179F5" w:rsidRDefault="00D179F5" w:rsidP="00D179F5">
            <w:pPr>
              <w:overflowPunct/>
              <w:autoSpaceDE/>
              <w:autoSpaceDN/>
              <w:adjustRightInd/>
              <w:jc w:val="center"/>
              <w:textAlignment w:val="auto"/>
              <w:rPr>
                <w:rFonts w:ascii="Calibri" w:hAnsi="Calibri"/>
                <w:color w:val="000000"/>
                <w:sz w:val="22"/>
                <w:szCs w:val="22"/>
              </w:rPr>
            </w:pPr>
            <w:r w:rsidRPr="00D179F5">
              <w:rPr>
                <w:rFonts w:ascii="Calibri" w:hAnsi="Calibri"/>
                <w:color w:val="000000"/>
                <w:sz w:val="22"/>
                <w:szCs w:val="22"/>
              </w:rPr>
              <w:t>1.000</w:t>
            </w:r>
          </w:p>
        </w:tc>
        <w:tc>
          <w:tcPr>
            <w:tcW w:w="0" w:type="auto"/>
            <w:tcBorders>
              <w:top w:val="nil"/>
              <w:left w:val="nil"/>
              <w:bottom w:val="single" w:sz="4" w:space="0" w:color="auto"/>
              <w:right w:val="single" w:sz="4" w:space="0" w:color="auto"/>
            </w:tcBorders>
            <w:shd w:val="clear" w:color="auto" w:fill="auto"/>
            <w:noWrap/>
            <w:vAlign w:val="center"/>
            <w:hideMark/>
          </w:tcPr>
          <w:p w:rsidR="00D179F5" w:rsidRPr="00D179F5" w:rsidRDefault="00D179F5" w:rsidP="00D179F5">
            <w:pPr>
              <w:overflowPunct/>
              <w:autoSpaceDE/>
              <w:autoSpaceDN/>
              <w:adjustRightInd/>
              <w:jc w:val="center"/>
              <w:textAlignment w:val="auto"/>
              <w:rPr>
                <w:rFonts w:ascii="Calibri" w:hAnsi="Calibri"/>
                <w:color w:val="000000"/>
                <w:sz w:val="22"/>
                <w:szCs w:val="22"/>
              </w:rPr>
            </w:pPr>
            <w:r w:rsidRPr="00D179F5">
              <w:rPr>
                <w:rFonts w:ascii="Calibri" w:hAnsi="Calibri"/>
                <w:color w:val="000000"/>
                <w:sz w:val="22"/>
                <w:szCs w:val="22"/>
              </w:rPr>
              <w:t>-0.107</w:t>
            </w:r>
          </w:p>
        </w:tc>
        <w:tc>
          <w:tcPr>
            <w:tcW w:w="0" w:type="auto"/>
            <w:tcBorders>
              <w:top w:val="nil"/>
              <w:left w:val="nil"/>
              <w:bottom w:val="single" w:sz="4" w:space="0" w:color="auto"/>
              <w:right w:val="single" w:sz="4" w:space="0" w:color="auto"/>
            </w:tcBorders>
            <w:shd w:val="clear" w:color="auto" w:fill="auto"/>
            <w:noWrap/>
            <w:vAlign w:val="center"/>
            <w:hideMark/>
          </w:tcPr>
          <w:p w:rsidR="00D179F5" w:rsidRPr="00D179F5" w:rsidRDefault="00D179F5" w:rsidP="00D179F5">
            <w:pPr>
              <w:overflowPunct/>
              <w:autoSpaceDE/>
              <w:autoSpaceDN/>
              <w:adjustRightInd/>
              <w:jc w:val="center"/>
              <w:textAlignment w:val="auto"/>
              <w:rPr>
                <w:rFonts w:ascii="Calibri" w:hAnsi="Calibri"/>
                <w:color w:val="000000"/>
                <w:sz w:val="22"/>
                <w:szCs w:val="22"/>
              </w:rPr>
            </w:pPr>
            <w:r w:rsidRPr="00D179F5">
              <w:rPr>
                <w:rFonts w:ascii="Calibri" w:hAnsi="Calibri"/>
                <w:color w:val="000000"/>
                <w:sz w:val="22"/>
                <w:szCs w:val="22"/>
              </w:rPr>
              <w:t>-0.238</w:t>
            </w:r>
          </w:p>
        </w:tc>
        <w:tc>
          <w:tcPr>
            <w:tcW w:w="0" w:type="auto"/>
            <w:tcBorders>
              <w:top w:val="nil"/>
              <w:left w:val="nil"/>
              <w:bottom w:val="single" w:sz="4" w:space="0" w:color="auto"/>
              <w:right w:val="single" w:sz="8" w:space="0" w:color="auto"/>
            </w:tcBorders>
            <w:shd w:val="clear" w:color="auto" w:fill="auto"/>
            <w:noWrap/>
            <w:vAlign w:val="center"/>
            <w:hideMark/>
          </w:tcPr>
          <w:p w:rsidR="00D179F5" w:rsidRPr="00D179F5" w:rsidRDefault="00D179F5" w:rsidP="00D179F5">
            <w:pPr>
              <w:overflowPunct/>
              <w:autoSpaceDE/>
              <w:autoSpaceDN/>
              <w:adjustRightInd/>
              <w:jc w:val="center"/>
              <w:textAlignment w:val="auto"/>
              <w:rPr>
                <w:rFonts w:ascii="Calibri" w:hAnsi="Calibri"/>
                <w:color w:val="000000"/>
                <w:sz w:val="22"/>
                <w:szCs w:val="22"/>
              </w:rPr>
            </w:pPr>
            <w:r w:rsidRPr="00D179F5">
              <w:rPr>
                <w:rFonts w:ascii="Calibri" w:hAnsi="Calibri"/>
                <w:color w:val="000000"/>
                <w:sz w:val="22"/>
                <w:szCs w:val="22"/>
              </w:rPr>
              <w:t>-0.513</w:t>
            </w:r>
          </w:p>
        </w:tc>
      </w:tr>
      <w:tr w:rsidR="00D179F5" w:rsidRPr="00D179F5" w:rsidTr="00D179F5">
        <w:trPr>
          <w:trHeight w:val="300"/>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rsidR="00D179F5" w:rsidRPr="00D179F5" w:rsidRDefault="00D179F5" w:rsidP="00D179F5">
            <w:pPr>
              <w:overflowPunct/>
              <w:autoSpaceDE/>
              <w:autoSpaceDN/>
              <w:adjustRightInd/>
              <w:jc w:val="center"/>
              <w:textAlignment w:val="auto"/>
              <w:rPr>
                <w:rFonts w:ascii="Calibri" w:hAnsi="Calibri"/>
                <w:color w:val="000000"/>
                <w:sz w:val="22"/>
                <w:szCs w:val="22"/>
              </w:rPr>
            </w:pPr>
            <w:r w:rsidRPr="00D179F5">
              <w:rPr>
                <w:rFonts w:ascii="Calibri" w:hAnsi="Calibri"/>
                <w:color w:val="000000"/>
                <w:sz w:val="22"/>
                <w:szCs w:val="22"/>
              </w:rPr>
              <w:t>5Y</w:t>
            </w:r>
          </w:p>
        </w:tc>
        <w:tc>
          <w:tcPr>
            <w:tcW w:w="0" w:type="auto"/>
            <w:tcBorders>
              <w:top w:val="nil"/>
              <w:left w:val="nil"/>
              <w:bottom w:val="single" w:sz="4" w:space="0" w:color="auto"/>
              <w:right w:val="single" w:sz="4" w:space="0" w:color="auto"/>
            </w:tcBorders>
            <w:shd w:val="clear" w:color="auto" w:fill="auto"/>
            <w:noWrap/>
            <w:vAlign w:val="center"/>
            <w:hideMark/>
          </w:tcPr>
          <w:p w:rsidR="00D179F5" w:rsidRPr="00D179F5" w:rsidRDefault="00D179F5" w:rsidP="00D179F5">
            <w:pPr>
              <w:overflowPunct/>
              <w:autoSpaceDE/>
              <w:autoSpaceDN/>
              <w:adjustRightInd/>
              <w:jc w:val="center"/>
              <w:textAlignment w:val="auto"/>
              <w:rPr>
                <w:rFonts w:ascii="Calibri" w:hAnsi="Calibri"/>
                <w:color w:val="000000"/>
                <w:sz w:val="22"/>
                <w:szCs w:val="22"/>
              </w:rPr>
            </w:pPr>
            <w:r w:rsidRPr="00D179F5">
              <w:rPr>
                <w:rFonts w:ascii="Calibri" w:hAnsi="Calibri"/>
                <w:color w:val="000000"/>
                <w:sz w:val="22"/>
                <w:szCs w:val="22"/>
              </w:rPr>
              <w:t>-0.107</w:t>
            </w:r>
          </w:p>
        </w:tc>
        <w:tc>
          <w:tcPr>
            <w:tcW w:w="0" w:type="auto"/>
            <w:tcBorders>
              <w:top w:val="nil"/>
              <w:left w:val="nil"/>
              <w:bottom w:val="single" w:sz="4" w:space="0" w:color="auto"/>
              <w:right w:val="single" w:sz="4" w:space="0" w:color="auto"/>
            </w:tcBorders>
            <w:shd w:val="clear" w:color="auto" w:fill="auto"/>
            <w:noWrap/>
            <w:vAlign w:val="center"/>
            <w:hideMark/>
          </w:tcPr>
          <w:p w:rsidR="00D179F5" w:rsidRPr="00D179F5" w:rsidRDefault="00D179F5" w:rsidP="00D179F5">
            <w:pPr>
              <w:overflowPunct/>
              <w:autoSpaceDE/>
              <w:autoSpaceDN/>
              <w:adjustRightInd/>
              <w:jc w:val="center"/>
              <w:textAlignment w:val="auto"/>
              <w:rPr>
                <w:rFonts w:ascii="Calibri" w:hAnsi="Calibri"/>
                <w:color w:val="000000"/>
                <w:sz w:val="22"/>
                <w:szCs w:val="22"/>
              </w:rPr>
            </w:pPr>
            <w:r w:rsidRPr="00D179F5">
              <w:rPr>
                <w:rFonts w:ascii="Calibri" w:hAnsi="Calibri"/>
                <w:color w:val="000000"/>
                <w:sz w:val="22"/>
                <w:szCs w:val="22"/>
              </w:rPr>
              <w:t>1.000</w:t>
            </w:r>
          </w:p>
        </w:tc>
        <w:tc>
          <w:tcPr>
            <w:tcW w:w="0" w:type="auto"/>
            <w:tcBorders>
              <w:top w:val="nil"/>
              <w:left w:val="nil"/>
              <w:bottom w:val="single" w:sz="4" w:space="0" w:color="auto"/>
              <w:right w:val="single" w:sz="4" w:space="0" w:color="auto"/>
            </w:tcBorders>
            <w:shd w:val="clear" w:color="auto" w:fill="auto"/>
            <w:noWrap/>
            <w:vAlign w:val="center"/>
            <w:hideMark/>
          </w:tcPr>
          <w:p w:rsidR="00D179F5" w:rsidRPr="00D179F5" w:rsidRDefault="00D179F5" w:rsidP="00D179F5">
            <w:pPr>
              <w:overflowPunct/>
              <w:autoSpaceDE/>
              <w:autoSpaceDN/>
              <w:adjustRightInd/>
              <w:jc w:val="center"/>
              <w:textAlignment w:val="auto"/>
              <w:rPr>
                <w:rFonts w:ascii="Calibri" w:hAnsi="Calibri"/>
                <w:color w:val="000000"/>
                <w:sz w:val="22"/>
                <w:szCs w:val="22"/>
              </w:rPr>
            </w:pPr>
            <w:r w:rsidRPr="00D179F5">
              <w:rPr>
                <w:rFonts w:ascii="Calibri" w:hAnsi="Calibri"/>
                <w:color w:val="000000"/>
                <w:sz w:val="22"/>
                <w:szCs w:val="22"/>
              </w:rPr>
              <w:t>0.927</w:t>
            </w:r>
          </w:p>
        </w:tc>
        <w:tc>
          <w:tcPr>
            <w:tcW w:w="0" w:type="auto"/>
            <w:tcBorders>
              <w:top w:val="nil"/>
              <w:left w:val="nil"/>
              <w:bottom w:val="single" w:sz="4" w:space="0" w:color="auto"/>
              <w:right w:val="single" w:sz="8" w:space="0" w:color="auto"/>
            </w:tcBorders>
            <w:shd w:val="clear" w:color="auto" w:fill="auto"/>
            <w:noWrap/>
            <w:vAlign w:val="center"/>
            <w:hideMark/>
          </w:tcPr>
          <w:p w:rsidR="00D179F5" w:rsidRPr="00D179F5" w:rsidRDefault="00D179F5" w:rsidP="00D179F5">
            <w:pPr>
              <w:overflowPunct/>
              <w:autoSpaceDE/>
              <w:autoSpaceDN/>
              <w:adjustRightInd/>
              <w:jc w:val="center"/>
              <w:textAlignment w:val="auto"/>
              <w:rPr>
                <w:rFonts w:ascii="Calibri" w:hAnsi="Calibri"/>
                <w:color w:val="000000"/>
                <w:sz w:val="22"/>
                <w:szCs w:val="22"/>
              </w:rPr>
            </w:pPr>
            <w:r w:rsidRPr="00D179F5">
              <w:rPr>
                <w:rFonts w:ascii="Calibri" w:hAnsi="Calibri"/>
                <w:color w:val="000000"/>
                <w:sz w:val="22"/>
                <w:szCs w:val="22"/>
              </w:rPr>
              <w:t>-0.302</w:t>
            </w:r>
          </w:p>
        </w:tc>
      </w:tr>
      <w:tr w:rsidR="00D179F5" w:rsidRPr="00D179F5" w:rsidTr="00D179F5">
        <w:trPr>
          <w:trHeight w:val="300"/>
          <w:jc w:val="center"/>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rsidR="00D179F5" w:rsidRPr="00D179F5" w:rsidRDefault="00D179F5" w:rsidP="00D179F5">
            <w:pPr>
              <w:overflowPunct/>
              <w:autoSpaceDE/>
              <w:autoSpaceDN/>
              <w:adjustRightInd/>
              <w:jc w:val="center"/>
              <w:textAlignment w:val="auto"/>
              <w:rPr>
                <w:rFonts w:ascii="Calibri" w:hAnsi="Calibri"/>
                <w:color w:val="000000"/>
                <w:sz w:val="22"/>
                <w:szCs w:val="22"/>
              </w:rPr>
            </w:pPr>
            <w:r w:rsidRPr="00D179F5">
              <w:rPr>
                <w:rFonts w:ascii="Calibri" w:hAnsi="Calibri"/>
                <w:color w:val="000000"/>
                <w:sz w:val="22"/>
                <w:szCs w:val="22"/>
              </w:rPr>
              <w:t>10Y</w:t>
            </w:r>
          </w:p>
        </w:tc>
        <w:tc>
          <w:tcPr>
            <w:tcW w:w="0" w:type="auto"/>
            <w:tcBorders>
              <w:top w:val="nil"/>
              <w:left w:val="nil"/>
              <w:bottom w:val="single" w:sz="4" w:space="0" w:color="auto"/>
              <w:right w:val="single" w:sz="4" w:space="0" w:color="auto"/>
            </w:tcBorders>
            <w:shd w:val="clear" w:color="auto" w:fill="auto"/>
            <w:noWrap/>
            <w:vAlign w:val="center"/>
            <w:hideMark/>
          </w:tcPr>
          <w:p w:rsidR="00D179F5" w:rsidRPr="00D179F5" w:rsidRDefault="00D179F5" w:rsidP="00D179F5">
            <w:pPr>
              <w:overflowPunct/>
              <w:autoSpaceDE/>
              <w:autoSpaceDN/>
              <w:adjustRightInd/>
              <w:jc w:val="center"/>
              <w:textAlignment w:val="auto"/>
              <w:rPr>
                <w:rFonts w:ascii="Calibri" w:hAnsi="Calibri"/>
                <w:color w:val="000000"/>
                <w:sz w:val="22"/>
                <w:szCs w:val="22"/>
              </w:rPr>
            </w:pPr>
            <w:r w:rsidRPr="00D179F5">
              <w:rPr>
                <w:rFonts w:ascii="Calibri" w:hAnsi="Calibri"/>
                <w:color w:val="000000"/>
                <w:sz w:val="22"/>
                <w:szCs w:val="22"/>
              </w:rPr>
              <w:t>-0.238</w:t>
            </w:r>
          </w:p>
        </w:tc>
        <w:tc>
          <w:tcPr>
            <w:tcW w:w="0" w:type="auto"/>
            <w:tcBorders>
              <w:top w:val="nil"/>
              <w:left w:val="nil"/>
              <w:bottom w:val="single" w:sz="4" w:space="0" w:color="auto"/>
              <w:right w:val="single" w:sz="4" w:space="0" w:color="auto"/>
            </w:tcBorders>
            <w:shd w:val="clear" w:color="auto" w:fill="auto"/>
            <w:noWrap/>
            <w:vAlign w:val="center"/>
            <w:hideMark/>
          </w:tcPr>
          <w:p w:rsidR="00D179F5" w:rsidRPr="00D179F5" w:rsidRDefault="00D179F5" w:rsidP="00D179F5">
            <w:pPr>
              <w:overflowPunct/>
              <w:autoSpaceDE/>
              <w:autoSpaceDN/>
              <w:adjustRightInd/>
              <w:jc w:val="center"/>
              <w:textAlignment w:val="auto"/>
              <w:rPr>
                <w:rFonts w:ascii="Calibri" w:hAnsi="Calibri"/>
                <w:color w:val="000000"/>
                <w:sz w:val="22"/>
                <w:szCs w:val="22"/>
              </w:rPr>
            </w:pPr>
            <w:r w:rsidRPr="00D179F5">
              <w:rPr>
                <w:rFonts w:ascii="Calibri" w:hAnsi="Calibri"/>
                <w:color w:val="000000"/>
                <w:sz w:val="22"/>
                <w:szCs w:val="22"/>
              </w:rPr>
              <w:t>0.927</w:t>
            </w:r>
          </w:p>
        </w:tc>
        <w:tc>
          <w:tcPr>
            <w:tcW w:w="0" w:type="auto"/>
            <w:tcBorders>
              <w:top w:val="nil"/>
              <w:left w:val="nil"/>
              <w:bottom w:val="single" w:sz="4" w:space="0" w:color="auto"/>
              <w:right w:val="single" w:sz="4" w:space="0" w:color="auto"/>
            </w:tcBorders>
            <w:shd w:val="clear" w:color="auto" w:fill="auto"/>
            <w:noWrap/>
            <w:vAlign w:val="center"/>
            <w:hideMark/>
          </w:tcPr>
          <w:p w:rsidR="00D179F5" w:rsidRPr="00D179F5" w:rsidRDefault="00D179F5" w:rsidP="00D179F5">
            <w:pPr>
              <w:overflowPunct/>
              <w:autoSpaceDE/>
              <w:autoSpaceDN/>
              <w:adjustRightInd/>
              <w:jc w:val="center"/>
              <w:textAlignment w:val="auto"/>
              <w:rPr>
                <w:rFonts w:ascii="Calibri" w:hAnsi="Calibri"/>
                <w:color w:val="000000"/>
                <w:sz w:val="22"/>
                <w:szCs w:val="22"/>
              </w:rPr>
            </w:pPr>
            <w:r w:rsidRPr="00D179F5">
              <w:rPr>
                <w:rFonts w:ascii="Calibri" w:hAnsi="Calibri"/>
                <w:color w:val="000000"/>
                <w:sz w:val="22"/>
                <w:szCs w:val="22"/>
              </w:rPr>
              <w:t>1.000</w:t>
            </w:r>
          </w:p>
        </w:tc>
        <w:tc>
          <w:tcPr>
            <w:tcW w:w="0" w:type="auto"/>
            <w:tcBorders>
              <w:top w:val="nil"/>
              <w:left w:val="nil"/>
              <w:bottom w:val="single" w:sz="4" w:space="0" w:color="auto"/>
              <w:right w:val="single" w:sz="8" w:space="0" w:color="auto"/>
            </w:tcBorders>
            <w:shd w:val="clear" w:color="auto" w:fill="auto"/>
            <w:noWrap/>
            <w:vAlign w:val="center"/>
            <w:hideMark/>
          </w:tcPr>
          <w:p w:rsidR="00D179F5" w:rsidRPr="00D179F5" w:rsidRDefault="00D179F5" w:rsidP="00D179F5">
            <w:pPr>
              <w:overflowPunct/>
              <w:autoSpaceDE/>
              <w:autoSpaceDN/>
              <w:adjustRightInd/>
              <w:jc w:val="center"/>
              <w:textAlignment w:val="auto"/>
              <w:rPr>
                <w:rFonts w:ascii="Calibri" w:hAnsi="Calibri"/>
                <w:color w:val="000000"/>
                <w:sz w:val="22"/>
                <w:szCs w:val="22"/>
              </w:rPr>
            </w:pPr>
            <w:r w:rsidRPr="00D179F5">
              <w:rPr>
                <w:rFonts w:ascii="Calibri" w:hAnsi="Calibri"/>
                <w:color w:val="000000"/>
                <w:sz w:val="22"/>
                <w:szCs w:val="22"/>
              </w:rPr>
              <w:t>-0.003</w:t>
            </w:r>
          </w:p>
        </w:tc>
      </w:tr>
      <w:tr w:rsidR="00D179F5" w:rsidRPr="00D179F5" w:rsidTr="00D179F5">
        <w:trPr>
          <w:trHeight w:val="315"/>
          <w:jc w:val="center"/>
        </w:trPr>
        <w:tc>
          <w:tcPr>
            <w:tcW w:w="0" w:type="auto"/>
            <w:tcBorders>
              <w:top w:val="nil"/>
              <w:left w:val="single" w:sz="8" w:space="0" w:color="auto"/>
              <w:bottom w:val="single" w:sz="8" w:space="0" w:color="auto"/>
              <w:right w:val="single" w:sz="4" w:space="0" w:color="auto"/>
            </w:tcBorders>
            <w:shd w:val="clear" w:color="auto" w:fill="auto"/>
            <w:noWrap/>
            <w:vAlign w:val="center"/>
            <w:hideMark/>
          </w:tcPr>
          <w:p w:rsidR="00D179F5" w:rsidRPr="00D179F5" w:rsidRDefault="00D179F5" w:rsidP="00D179F5">
            <w:pPr>
              <w:overflowPunct/>
              <w:autoSpaceDE/>
              <w:autoSpaceDN/>
              <w:adjustRightInd/>
              <w:jc w:val="center"/>
              <w:textAlignment w:val="auto"/>
              <w:rPr>
                <w:rFonts w:ascii="Calibri" w:hAnsi="Calibri"/>
                <w:color w:val="000000"/>
                <w:sz w:val="22"/>
                <w:szCs w:val="22"/>
              </w:rPr>
            </w:pPr>
            <w:r w:rsidRPr="00D179F5">
              <w:rPr>
                <w:rFonts w:ascii="Calibri" w:hAnsi="Calibri"/>
                <w:color w:val="000000"/>
                <w:sz w:val="22"/>
                <w:szCs w:val="22"/>
              </w:rPr>
              <w:t>25Y</w:t>
            </w:r>
          </w:p>
        </w:tc>
        <w:tc>
          <w:tcPr>
            <w:tcW w:w="0" w:type="auto"/>
            <w:tcBorders>
              <w:top w:val="nil"/>
              <w:left w:val="nil"/>
              <w:bottom w:val="single" w:sz="8" w:space="0" w:color="auto"/>
              <w:right w:val="single" w:sz="4" w:space="0" w:color="auto"/>
            </w:tcBorders>
            <w:shd w:val="clear" w:color="auto" w:fill="auto"/>
            <w:noWrap/>
            <w:vAlign w:val="center"/>
            <w:hideMark/>
          </w:tcPr>
          <w:p w:rsidR="00D179F5" w:rsidRPr="00D179F5" w:rsidRDefault="00D179F5" w:rsidP="00D179F5">
            <w:pPr>
              <w:overflowPunct/>
              <w:autoSpaceDE/>
              <w:autoSpaceDN/>
              <w:adjustRightInd/>
              <w:jc w:val="center"/>
              <w:textAlignment w:val="auto"/>
              <w:rPr>
                <w:rFonts w:ascii="Calibri" w:hAnsi="Calibri"/>
                <w:color w:val="000000"/>
                <w:sz w:val="22"/>
                <w:szCs w:val="22"/>
              </w:rPr>
            </w:pPr>
            <w:r w:rsidRPr="00D179F5">
              <w:rPr>
                <w:rFonts w:ascii="Calibri" w:hAnsi="Calibri"/>
                <w:color w:val="000000"/>
                <w:sz w:val="22"/>
                <w:szCs w:val="22"/>
              </w:rPr>
              <w:t>-0.513</w:t>
            </w:r>
          </w:p>
        </w:tc>
        <w:tc>
          <w:tcPr>
            <w:tcW w:w="0" w:type="auto"/>
            <w:tcBorders>
              <w:top w:val="nil"/>
              <w:left w:val="nil"/>
              <w:bottom w:val="single" w:sz="8" w:space="0" w:color="auto"/>
              <w:right w:val="single" w:sz="4" w:space="0" w:color="auto"/>
            </w:tcBorders>
            <w:shd w:val="clear" w:color="auto" w:fill="auto"/>
            <w:noWrap/>
            <w:vAlign w:val="center"/>
            <w:hideMark/>
          </w:tcPr>
          <w:p w:rsidR="00D179F5" w:rsidRPr="00D179F5" w:rsidRDefault="00D179F5" w:rsidP="00D179F5">
            <w:pPr>
              <w:overflowPunct/>
              <w:autoSpaceDE/>
              <w:autoSpaceDN/>
              <w:adjustRightInd/>
              <w:jc w:val="center"/>
              <w:textAlignment w:val="auto"/>
              <w:rPr>
                <w:rFonts w:ascii="Calibri" w:hAnsi="Calibri"/>
                <w:color w:val="000000"/>
                <w:sz w:val="22"/>
                <w:szCs w:val="22"/>
              </w:rPr>
            </w:pPr>
            <w:r w:rsidRPr="00D179F5">
              <w:rPr>
                <w:rFonts w:ascii="Calibri" w:hAnsi="Calibri"/>
                <w:color w:val="000000"/>
                <w:sz w:val="22"/>
                <w:szCs w:val="22"/>
              </w:rPr>
              <w:t>-0.302</w:t>
            </w:r>
          </w:p>
        </w:tc>
        <w:tc>
          <w:tcPr>
            <w:tcW w:w="0" w:type="auto"/>
            <w:tcBorders>
              <w:top w:val="nil"/>
              <w:left w:val="nil"/>
              <w:bottom w:val="single" w:sz="8" w:space="0" w:color="auto"/>
              <w:right w:val="single" w:sz="4" w:space="0" w:color="auto"/>
            </w:tcBorders>
            <w:shd w:val="clear" w:color="auto" w:fill="auto"/>
            <w:noWrap/>
            <w:vAlign w:val="center"/>
            <w:hideMark/>
          </w:tcPr>
          <w:p w:rsidR="00D179F5" w:rsidRPr="00D179F5" w:rsidRDefault="00D179F5" w:rsidP="00D179F5">
            <w:pPr>
              <w:overflowPunct/>
              <w:autoSpaceDE/>
              <w:autoSpaceDN/>
              <w:adjustRightInd/>
              <w:jc w:val="center"/>
              <w:textAlignment w:val="auto"/>
              <w:rPr>
                <w:rFonts w:ascii="Calibri" w:hAnsi="Calibri"/>
                <w:color w:val="000000"/>
                <w:sz w:val="22"/>
                <w:szCs w:val="22"/>
              </w:rPr>
            </w:pPr>
            <w:r w:rsidRPr="00D179F5">
              <w:rPr>
                <w:rFonts w:ascii="Calibri" w:hAnsi="Calibri"/>
                <w:color w:val="000000"/>
                <w:sz w:val="22"/>
                <w:szCs w:val="22"/>
              </w:rPr>
              <w:t>-0.003</w:t>
            </w:r>
          </w:p>
        </w:tc>
        <w:tc>
          <w:tcPr>
            <w:tcW w:w="0" w:type="auto"/>
            <w:tcBorders>
              <w:top w:val="nil"/>
              <w:left w:val="nil"/>
              <w:bottom w:val="single" w:sz="8" w:space="0" w:color="auto"/>
              <w:right w:val="single" w:sz="8" w:space="0" w:color="auto"/>
            </w:tcBorders>
            <w:shd w:val="clear" w:color="auto" w:fill="auto"/>
            <w:noWrap/>
            <w:vAlign w:val="center"/>
            <w:hideMark/>
          </w:tcPr>
          <w:p w:rsidR="00D179F5" w:rsidRPr="00D179F5" w:rsidRDefault="00D179F5" w:rsidP="00D179F5">
            <w:pPr>
              <w:overflowPunct/>
              <w:autoSpaceDE/>
              <w:autoSpaceDN/>
              <w:adjustRightInd/>
              <w:jc w:val="center"/>
              <w:textAlignment w:val="auto"/>
              <w:rPr>
                <w:rFonts w:ascii="Calibri" w:hAnsi="Calibri"/>
                <w:color w:val="000000"/>
                <w:sz w:val="22"/>
                <w:szCs w:val="22"/>
              </w:rPr>
            </w:pPr>
            <w:r w:rsidRPr="00D179F5">
              <w:rPr>
                <w:rFonts w:ascii="Calibri" w:hAnsi="Calibri"/>
                <w:color w:val="000000"/>
                <w:sz w:val="22"/>
                <w:szCs w:val="22"/>
              </w:rPr>
              <w:t>1.000</w:t>
            </w:r>
          </w:p>
        </w:tc>
      </w:tr>
    </w:tbl>
    <w:p w:rsidR="009845B9" w:rsidRDefault="002D5A08" w:rsidP="00B727CD">
      <w:pPr>
        <w:pStyle w:val="text"/>
      </w:pPr>
      <w:r>
        <w:t xml:space="preserve">The moment of the yield curve remained fairly stable for 2012.  In 2013 the short term end of the curve began to steepen while long-term rates began to demonstrate some </w:t>
      </w:r>
      <w:r w:rsidR="00190794">
        <w:t xml:space="preserve">degree of </w:t>
      </w:r>
      <w:r>
        <w:t>inversion.</w:t>
      </w:r>
    </w:p>
    <w:p w:rsidR="009845B9" w:rsidRDefault="0007723D" w:rsidP="00734098">
      <w:pPr>
        <w:pStyle w:val="text"/>
        <w:keepNext/>
        <w:jc w:val="center"/>
      </w:pPr>
      <w:r>
        <w:t>Figure 2</w:t>
      </w:r>
      <w:r w:rsidR="009845B9" w:rsidRPr="00960BFC">
        <w:t xml:space="preserve">: </w:t>
      </w:r>
      <w:r w:rsidR="009845B9">
        <w:t>Historic Forward Rate Term Structure Movements</w:t>
      </w:r>
    </w:p>
    <w:p w:rsidR="00702BA0" w:rsidRDefault="003C3843" w:rsidP="003C3843">
      <w:pPr>
        <w:pStyle w:val="text"/>
        <w:jc w:val="center"/>
      </w:pPr>
      <w:r>
        <w:rPr>
          <w:noProof/>
        </w:rPr>
        <w:drawing>
          <wp:inline distT="0" distB="0" distL="0" distR="0">
            <wp:extent cx="3696542" cy="2820043"/>
            <wp:effectExtent l="19050" t="19050" r="18208" b="18407"/>
            <wp:docPr id="36" name="Picture 34" descr="C:\Users\Greg\Google Drive\Education\CQF\June 2014\Final Project\figures\historic_forward_rate_term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Greg\Google Drive\Education\CQF\June 2014\Final Project\figures\historic_forward_rate_term_structure.png"/>
                    <pic:cNvPicPr>
                      <a:picLocks noChangeAspect="1" noChangeArrowheads="1"/>
                    </pic:cNvPicPr>
                  </pic:nvPicPr>
                  <pic:blipFill>
                    <a:blip r:embed="rId9" cstate="print"/>
                    <a:srcRect/>
                    <a:stretch>
                      <a:fillRect/>
                    </a:stretch>
                  </pic:blipFill>
                  <pic:spPr bwMode="auto">
                    <a:xfrm>
                      <a:off x="0" y="0"/>
                      <a:ext cx="3696542" cy="2820043"/>
                    </a:xfrm>
                    <a:prstGeom prst="rect">
                      <a:avLst/>
                    </a:prstGeom>
                    <a:noFill/>
                    <a:ln w="9525">
                      <a:solidFill>
                        <a:schemeClr val="tx1"/>
                      </a:solidFill>
                      <a:miter lim="800000"/>
                      <a:headEnd/>
                      <a:tailEnd/>
                    </a:ln>
                  </pic:spPr>
                </pic:pic>
              </a:graphicData>
            </a:graphic>
          </wp:inline>
        </w:drawing>
      </w:r>
    </w:p>
    <w:p w:rsidR="00B727CD" w:rsidRDefault="004B1B73" w:rsidP="00EC4DA3">
      <w:pPr>
        <w:pStyle w:val="Heading1"/>
      </w:pPr>
      <w:bookmarkStart w:id="2" w:name="_Toc408844284"/>
      <w:r>
        <w:t>f</w:t>
      </w:r>
      <w:r w:rsidR="00B727CD">
        <w:t>actorization and Calibration</w:t>
      </w:r>
      <w:bookmarkEnd w:id="2"/>
    </w:p>
    <w:p w:rsidR="001113A6" w:rsidRDefault="004B1B73" w:rsidP="004B1B73">
      <w:pPr>
        <w:pStyle w:val="Heading3"/>
      </w:pPr>
      <w:bookmarkStart w:id="3" w:name="_Toc408844285"/>
      <w:r>
        <w:t>Principal Component Analysis</w:t>
      </w:r>
      <w:bookmarkEnd w:id="3"/>
    </w:p>
    <w:p w:rsidR="004B1B73" w:rsidRDefault="000E5289" w:rsidP="004B1B73">
      <w:pPr>
        <w:pStyle w:val="text"/>
      </w:pPr>
      <w:r>
        <w:t>The BOE data contains instantaneous forward rates up to 25 years in half-year increments.  Principal component analysis (PCA) is used to determine dominant and independent factors that can adequately describe the movements of each of the forward rates over the two year sample.</w:t>
      </w:r>
    </w:p>
    <w:p w:rsidR="000E5289" w:rsidRDefault="000E5289" w:rsidP="004B1B73">
      <w:pPr>
        <w:pStyle w:val="text"/>
      </w:pPr>
      <w:r>
        <w:lastRenderedPageBreak/>
        <w:t>To conduct PCA on the sample, a covariance matrix was calculated on the log-differences in forward rates over the two year time span of the sample data.  Log-differences were used because January 2012 to December 2013 is in a low rate regime</w:t>
      </w:r>
      <w:r w:rsidR="00B27819">
        <w:t>.</w:t>
      </w:r>
    </w:p>
    <w:p w:rsidR="00B27819" w:rsidRDefault="00B27819" w:rsidP="004B1B73">
      <w:pPr>
        <w:pStyle w:val="text"/>
      </w:pPr>
      <w:r>
        <w:t>Covariance was calculated using the standard NumPy covariance implementation</w:t>
      </w:r>
      <w:r>
        <w:rPr>
          <w:rStyle w:val="FootnoteReference"/>
        </w:rPr>
        <w:footnoteReference w:id="1"/>
      </w:r>
      <w:r>
        <w:t xml:space="preserve"> from</w:t>
      </w:r>
      <w:r w:rsidR="000E1347">
        <w:t xml:space="preserve"> the widely known</w:t>
      </w:r>
      <w:r>
        <w:t xml:space="preserve"> </w:t>
      </w:r>
      <w:r w:rsidR="000E1347">
        <w:t>LAPACK</w:t>
      </w:r>
      <w:r w:rsidR="000E1347">
        <w:rPr>
          <w:rStyle w:val="FootnoteReference"/>
        </w:rPr>
        <w:footnoteReference w:id="2"/>
      </w:r>
      <w:r w:rsidR="000E1347">
        <w:t xml:space="preserve"> (Linear Algebra PACKage) library</w:t>
      </w:r>
      <w:r>
        <w:t>.</w:t>
      </w:r>
      <w:r w:rsidR="00757F6B">
        <w:t xml:space="preserve">  The resulting matrix was re-annualized by a factor of </w:t>
      </w:r>
      <m:oMath>
        <m:f>
          <m:fPr>
            <m:ctrlPr>
              <w:rPr>
                <w:rFonts w:ascii="Cambria Math" w:hAnsi="Cambria Math"/>
                <w:i/>
              </w:rPr>
            </m:ctrlPr>
          </m:fPr>
          <m:num>
            <m:r>
              <w:rPr>
                <w:rFonts w:ascii="Cambria Math" w:hAnsi="Cambria Math"/>
              </w:rPr>
              <m:t>51</m:t>
            </m:r>
          </m:num>
          <m:den>
            <m:r>
              <w:rPr>
                <w:rFonts w:ascii="Cambria Math" w:hAnsi="Cambria Math"/>
              </w:rPr>
              <m:t>100 * 100</m:t>
            </m:r>
          </m:den>
        </m:f>
      </m:oMath>
      <w:r w:rsidR="00757F6B">
        <w:t xml:space="preserve"> to account for the fact that the data was weekly and the rates were displayed as percentages (i.e. 0.05 as 5).  The numerator </w:t>
      </w:r>
      <w:r w:rsidR="008D1B88">
        <w:t>is 51 as opposed to 52 to account for bank holidays throughout the year.</w:t>
      </w:r>
    </w:p>
    <w:p w:rsidR="00F70980" w:rsidRDefault="00F70980" w:rsidP="004B1B73">
      <w:pPr>
        <w:pStyle w:val="text"/>
      </w:pPr>
      <w:r>
        <w:t>T</w:t>
      </w:r>
      <w:r w:rsidR="000E7E45">
        <w:t>he standard NumP</w:t>
      </w:r>
      <w:r>
        <w:t>y eigenvalue function</w:t>
      </w:r>
      <w:r>
        <w:rPr>
          <w:rStyle w:val="FootnoteReference"/>
        </w:rPr>
        <w:footnoteReference w:id="3"/>
      </w:r>
      <w:r>
        <w:t xml:space="preserve"> </w:t>
      </w:r>
      <w:r w:rsidR="000E1347">
        <w:t xml:space="preserve">which leverages LAPACK </w:t>
      </w:r>
      <w:r>
        <w:t>was used to calculate the eigenvalues and eigenvectors on the covariance matrix</w:t>
      </w:r>
      <w:r w:rsidR="00171485">
        <w:t>.  The eigenvalues were then placed in descending order and the cumulative R</w:t>
      </w:r>
      <w:r w:rsidR="00171485" w:rsidRPr="00171485">
        <w:rPr>
          <w:vertAlign w:val="superscript"/>
        </w:rPr>
        <w:t>2</w:t>
      </w:r>
      <w:r w:rsidR="00171485">
        <w:t xml:space="preserve"> values were calculated thusly: </w:t>
      </w:r>
      <m:oMath>
        <m:r>
          <w:rPr>
            <w:rFonts w:ascii="Cambria Math" w:hAnsi="Cambria Math"/>
          </w:rPr>
          <m:t xml:space="preserve">Cum.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den>
        </m:f>
      </m:oMath>
      <w:r w:rsidR="00B34167">
        <w:t xml:space="preserve">.  </w:t>
      </w:r>
      <w:r w:rsidR="000E7E45">
        <w:t>A separate method using QR decomposition</w:t>
      </w:r>
      <w:r w:rsidR="00523B79">
        <w:rPr>
          <w:rStyle w:val="FootnoteReference"/>
        </w:rPr>
        <w:footnoteReference w:id="4"/>
      </w:r>
      <w:r w:rsidR="000E7E45">
        <w:t xml:space="preserve"> was used to verify the validity and accuracy of the eigenvalues and eigenvectors.  </w:t>
      </w:r>
      <w:r w:rsidR="00E176B7">
        <w:t>Both implementations had nearly identical eigenvalues and t</w:t>
      </w:r>
      <w:r w:rsidR="00B34167">
        <w:t>he table below shows the cumulative R</w:t>
      </w:r>
      <w:r w:rsidR="00B34167" w:rsidRPr="00B34167">
        <w:rPr>
          <w:vertAlign w:val="superscript"/>
        </w:rPr>
        <w:t>2</w:t>
      </w:r>
      <w:r w:rsidR="00B34167">
        <w:t xml:space="preserve"> values</w:t>
      </w:r>
      <w:r w:rsidR="000E7E45">
        <w:t xml:space="preserve"> for both the NumPy and QR decomposition methods</w:t>
      </w:r>
      <w:r w:rsidR="008C746C">
        <w:t xml:space="preserve"> had the same ranking and explanatory power</w:t>
      </w:r>
      <w:r w:rsidR="00B34167">
        <w:t>.</w:t>
      </w:r>
    </w:p>
    <w:p w:rsidR="00B34167" w:rsidRPr="00B34167" w:rsidRDefault="00B34167" w:rsidP="00E12E8B">
      <w:pPr>
        <w:pStyle w:val="text"/>
        <w:keepNext/>
        <w:jc w:val="center"/>
      </w:pPr>
      <w:r>
        <w:lastRenderedPageBreak/>
        <w:t>Table</w:t>
      </w:r>
      <w:r w:rsidR="0007723D">
        <w:t xml:space="preserve"> 2</w:t>
      </w:r>
      <w:r w:rsidRPr="00960BFC">
        <w:t xml:space="preserve">: </w:t>
      </w:r>
      <w:r w:rsidR="00E12E8B">
        <w:t>Cumulative R2 for Numpy and QR Decomposition</w:t>
      </w:r>
    </w:p>
    <w:tbl>
      <w:tblPr>
        <w:tblW w:w="4480" w:type="dxa"/>
        <w:jc w:val="center"/>
        <w:tblInd w:w="96" w:type="dxa"/>
        <w:tblLook w:val="04A0"/>
      </w:tblPr>
      <w:tblGrid>
        <w:gridCol w:w="1291"/>
        <w:gridCol w:w="1600"/>
        <w:gridCol w:w="1600"/>
      </w:tblGrid>
      <w:tr w:rsidR="00667A35" w:rsidRPr="00667A35" w:rsidTr="00667A35">
        <w:trPr>
          <w:trHeight w:val="900"/>
          <w:jc w:val="center"/>
        </w:trPr>
        <w:tc>
          <w:tcPr>
            <w:tcW w:w="128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667A35" w:rsidRPr="00667A35" w:rsidRDefault="00667A35" w:rsidP="00E12E8B">
            <w:pPr>
              <w:keepNext/>
              <w:overflowPunct/>
              <w:autoSpaceDE/>
              <w:autoSpaceDN/>
              <w:adjustRightInd/>
              <w:jc w:val="center"/>
              <w:textAlignment w:val="auto"/>
              <w:rPr>
                <w:rFonts w:ascii="Calibri" w:hAnsi="Calibri"/>
                <w:b/>
                <w:bCs/>
                <w:color w:val="000000"/>
                <w:sz w:val="22"/>
                <w:szCs w:val="22"/>
              </w:rPr>
            </w:pPr>
            <w:r>
              <w:rPr>
                <w:rFonts w:ascii="Calibri" w:hAnsi="Calibri"/>
                <w:b/>
                <w:bCs/>
                <w:color w:val="000000"/>
                <w:sz w:val="22"/>
                <w:szCs w:val="22"/>
              </w:rPr>
              <w:t>Eigenv</w:t>
            </w:r>
            <w:r w:rsidRPr="00667A35">
              <w:rPr>
                <w:rFonts w:ascii="Calibri" w:hAnsi="Calibri"/>
                <w:b/>
                <w:bCs/>
                <w:color w:val="000000"/>
                <w:sz w:val="22"/>
                <w:szCs w:val="22"/>
              </w:rPr>
              <w:t>ector</w:t>
            </w:r>
            <w:r>
              <w:rPr>
                <w:rFonts w:ascii="Calibri" w:hAnsi="Calibri"/>
                <w:b/>
                <w:bCs/>
                <w:color w:val="000000"/>
                <w:sz w:val="22"/>
                <w:szCs w:val="22"/>
              </w:rPr>
              <w:t xml:space="preserve"> (sorted)</w:t>
            </w:r>
          </w:p>
        </w:tc>
        <w:tc>
          <w:tcPr>
            <w:tcW w:w="1600" w:type="dxa"/>
            <w:tcBorders>
              <w:top w:val="single" w:sz="8" w:space="0" w:color="auto"/>
              <w:left w:val="nil"/>
              <w:bottom w:val="single" w:sz="4" w:space="0" w:color="auto"/>
              <w:right w:val="single" w:sz="4" w:space="0" w:color="auto"/>
            </w:tcBorders>
            <w:shd w:val="clear" w:color="auto" w:fill="auto"/>
            <w:vAlign w:val="center"/>
            <w:hideMark/>
          </w:tcPr>
          <w:p w:rsidR="00667A35" w:rsidRPr="00667A35" w:rsidRDefault="00667A35" w:rsidP="00E12E8B">
            <w:pPr>
              <w:keepNext/>
              <w:overflowPunct/>
              <w:autoSpaceDE/>
              <w:autoSpaceDN/>
              <w:adjustRightInd/>
              <w:jc w:val="center"/>
              <w:textAlignment w:val="auto"/>
              <w:rPr>
                <w:rFonts w:ascii="Calibri" w:hAnsi="Calibri"/>
                <w:b/>
                <w:bCs/>
                <w:color w:val="000000"/>
                <w:sz w:val="22"/>
                <w:szCs w:val="22"/>
              </w:rPr>
            </w:pPr>
            <w:r w:rsidRPr="00667A35">
              <w:rPr>
                <w:rFonts w:ascii="Calibri" w:hAnsi="Calibri"/>
                <w:b/>
                <w:bCs/>
                <w:color w:val="000000"/>
                <w:sz w:val="22"/>
                <w:szCs w:val="22"/>
              </w:rPr>
              <w:t>Numpy</w:t>
            </w:r>
            <w:r w:rsidRPr="00667A35">
              <w:rPr>
                <w:rFonts w:ascii="Calibri" w:hAnsi="Calibri"/>
                <w:b/>
                <w:bCs/>
                <w:color w:val="000000"/>
                <w:sz w:val="22"/>
                <w:szCs w:val="22"/>
              </w:rPr>
              <w:br/>
              <w:t>Cum. R2</w:t>
            </w:r>
          </w:p>
        </w:tc>
        <w:tc>
          <w:tcPr>
            <w:tcW w:w="1600" w:type="dxa"/>
            <w:tcBorders>
              <w:top w:val="single" w:sz="8" w:space="0" w:color="auto"/>
              <w:left w:val="nil"/>
              <w:bottom w:val="single" w:sz="4" w:space="0" w:color="auto"/>
              <w:right w:val="single" w:sz="8" w:space="0" w:color="auto"/>
            </w:tcBorders>
            <w:shd w:val="clear" w:color="auto" w:fill="auto"/>
            <w:vAlign w:val="center"/>
            <w:hideMark/>
          </w:tcPr>
          <w:p w:rsidR="00667A35" w:rsidRPr="00667A35" w:rsidRDefault="00667A35" w:rsidP="00E12E8B">
            <w:pPr>
              <w:keepNext/>
              <w:overflowPunct/>
              <w:autoSpaceDE/>
              <w:autoSpaceDN/>
              <w:adjustRightInd/>
              <w:jc w:val="center"/>
              <w:textAlignment w:val="auto"/>
              <w:rPr>
                <w:rFonts w:ascii="Calibri" w:hAnsi="Calibri"/>
                <w:b/>
                <w:bCs/>
                <w:color w:val="000000"/>
                <w:sz w:val="22"/>
                <w:szCs w:val="22"/>
              </w:rPr>
            </w:pPr>
            <w:r w:rsidRPr="00667A35">
              <w:rPr>
                <w:rFonts w:ascii="Calibri" w:hAnsi="Calibri"/>
                <w:b/>
                <w:bCs/>
                <w:color w:val="000000"/>
                <w:sz w:val="22"/>
                <w:szCs w:val="22"/>
              </w:rPr>
              <w:t>QR Decomposition</w:t>
            </w:r>
            <w:r w:rsidRPr="00667A35">
              <w:rPr>
                <w:rFonts w:ascii="Calibri" w:hAnsi="Calibri"/>
                <w:b/>
                <w:bCs/>
                <w:color w:val="000000"/>
                <w:sz w:val="22"/>
                <w:szCs w:val="22"/>
              </w:rPr>
              <w:br/>
              <w:t>Cum. R2</w:t>
            </w:r>
          </w:p>
        </w:tc>
      </w:tr>
      <w:tr w:rsidR="00667A35" w:rsidRPr="00667A35" w:rsidTr="00667A35">
        <w:trPr>
          <w:trHeight w:val="300"/>
          <w:jc w:val="center"/>
        </w:trPr>
        <w:tc>
          <w:tcPr>
            <w:tcW w:w="1280" w:type="dxa"/>
            <w:tcBorders>
              <w:top w:val="nil"/>
              <w:left w:val="single" w:sz="8" w:space="0" w:color="auto"/>
              <w:bottom w:val="single" w:sz="4" w:space="0" w:color="auto"/>
              <w:right w:val="single" w:sz="4" w:space="0" w:color="auto"/>
            </w:tcBorders>
            <w:shd w:val="clear" w:color="auto" w:fill="auto"/>
            <w:noWrap/>
            <w:vAlign w:val="center"/>
            <w:hideMark/>
          </w:tcPr>
          <w:p w:rsidR="00667A35" w:rsidRPr="00667A35" w:rsidRDefault="00667A35" w:rsidP="00E12E8B">
            <w:pPr>
              <w:keepNext/>
              <w:overflowPunct/>
              <w:autoSpaceDE/>
              <w:autoSpaceDN/>
              <w:adjustRightInd/>
              <w:jc w:val="center"/>
              <w:textAlignment w:val="auto"/>
              <w:rPr>
                <w:rFonts w:ascii="Calibri" w:hAnsi="Calibri"/>
                <w:color w:val="000000"/>
                <w:sz w:val="22"/>
                <w:szCs w:val="22"/>
              </w:rPr>
            </w:pPr>
            <w:r w:rsidRPr="00667A35">
              <w:rPr>
                <w:rFonts w:ascii="Calibri" w:hAnsi="Calibri"/>
                <w:color w:val="000000"/>
                <w:sz w:val="22"/>
                <w:szCs w:val="22"/>
              </w:rPr>
              <w:t>e(1)</w:t>
            </w:r>
          </w:p>
        </w:tc>
        <w:tc>
          <w:tcPr>
            <w:tcW w:w="1600" w:type="dxa"/>
            <w:tcBorders>
              <w:top w:val="nil"/>
              <w:left w:val="nil"/>
              <w:bottom w:val="single" w:sz="4" w:space="0" w:color="auto"/>
              <w:right w:val="single" w:sz="4" w:space="0" w:color="auto"/>
            </w:tcBorders>
            <w:shd w:val="clear" w:color="auto" w:fill="auto"/>
            <w:noWrap/>
            <w:vAlign w:val="center"/>
            <w:hideMark/>
          </w:tcPr>
          <w:p w:rsidR="00667A35" w:rsidRPr="00667A35" w:rsidRDefault="00667A35" w:rsidP="00E12E8B">
            <w:pPr>
              <w:keepNext/>
              <w:overflowPunct/>
              <w:autoSpaceDE/>
              <w:autoSpaceDN/>
              <w:adjustRightInd/>
              <w:jc w:val="center"/>
              <w:textAlignment w:val="auto"/>
              <w:rPr>
                <w:rFonts w:ascii="Calibri" w:hAnsi="Calibri"/>
                <w:color w:val="000000"/>
                <w:sz w:val="22"/>
                <w:szCs w:val="22"/>
              </w:rPr>
            </w:pPr>
            <w:r w:rsidRPr="00667A35">
              <w:rPr>
                <w:rFonts w:ascii="Calibri" w:hAnsi="Calibri"/>
                <w:color w:val="000000"/>
                <w:sz w:val="22"/>
                <w:szCs w:val="22"/>
              </w:rPr>
              <w:t>0.678</w:t>
            </w:r>
          </w:p>
        </w:tc>
        <w:tc>
          <w:tcPr>
            <w:tcW w:w="1600" w:type="dxa"/>
            <w:tcBorders>
              <w:top w:val="nil"/>
              <w:left w:val="nil"/>
              <w:bottom w:val="single" w:sz="4" w:space="0" w:color="auto"/>
              <w:right w:val="single" w:sz="8" w:space="0" w:color="auto"/>
            </w:tcBorders>
            <w:shd w:val="clear" w:color="auto" w:fill="auto"/>
            <w:noWrap/>
            <w:vAlign w:val="center"/>
            <w:hideMark/>
          </w:tcPr>
          <w:p w:rsidR="00667A35" w:rsidRPr="00667A35" w:rsidRDefault="00667A35" w:rsidP="00E12E8B">
            <w:pPr>
              <w:keepNext/>
              <w:overflowPunct/>
              <w:autoSpaceDE/>
              <w:autoSpaceDN/>
              <w:adjustRightInd/>
              <w:jc w:val="center"/>
              <w:textAlignment w:val="auto"/>
              <w:rPr>
                <w:rFonts w:ascii="Calibri" w:hAnsi="Calibri"/>
                <w:color w:val="000000"/>
                <w:sz w:val="22"/>
                <w:szCs w:val="22"/>
              </w:rPr>
            </w:pPr>
            <w:r w:rsidRPr="00667A35">
              <w:rPr>
                <w:rFonts w:ascii="Calibri" w:hAnsi="Calibri"/>
                <w:color w:val="000000"/>
                <w:sz w:val="22"/>
                <w:szCs w:val="22"/>
              </w:rPr>
              <w:t>0.678</w:t>
            </w:r>
          </w:p>
        </w:tc>
      </w:tr>
      <w:tr w:rsidR="00667A35" w:rsidRPr="00667A35" w:rsidTr="00667A35">
        <w:trPr>
          <w:trHeight w:val="300"/>
          <w:jc w:val="center"/>
        </w:trPr>
        <w:tc>
          <w:tcPr>
            <w:tcW w:w="1280" w:type="dxa"/>
            <w:tcBorders>
              <w:top w:val="nil"/>
              <w:left w:val="single" w:sz="8" w:space="0" w:color="auto"/>
              <w:bottom w:val="single" w:sz="4" w:space="0" w:color="auto"/>
              <w:right w:val="single" w:sz="4" w:space="0" w:color="auto"/>
            </w:tcBorders>
            <w:shd w:val="clear" w:color="auto" w:fill="auto"/>
            <w:noWrap/>
            <w:vAlign w:val="center"/>
            <w:hideMark/>
          </w:tcPr>
          <w:p w:rsidR="00667A35" w:rsidRPr="00667A35" w:rsidRDefault="00667A35" w:rsidP="00E12E8B">
            <w:pPr>
              <w:keepNext/>
              <w:overflowPunct/>
              <w:autoSpaceDE/>
              <w:autoSpaceDN/>
              <w:adjustRightInd/>
              <w:jc w:val="center"/>
              <w:textAlignment w:val="auto"/>
              <w:rPr>
                <w:rFonts w:ascii="Calibri" w:hAnsi="Calibri"/>
                <w:color w:val="000000"/>
                <w:sz w:val="22"/>
                <w:szCs w:val="22"/>
              </w:rPr>
            </w:pPr>
            <w:r w:rsidRPr="00667A35">
              <w:rPr>
                <w:rFonts w:ascii="Calibri" w:hAnsi="Calibri"/>
                <w:color w:val="000000"/>
                <w:sz w:val="22"/>
                <w:szCs w:val="22"/>
              </w:rPr>
              <w:t>e(2)</w:t>
            </w:r>
          </w:p>
        </w:tc>
        <w:tc>
          <w:tcPr>
            <w:tcW w:w="1600" w:type="dxa"/>
            <w:tcBorders>
              <w:top w:val="nil"/>
              <w:left w:val="nil"/>
              <w:bottom w:val="single" w:sz="4" w:space="0" w:color="auto"/>
              <w:right w:val="single" w:sz="4" w:space="0" w:color="auto"/>
            </w:tcBorders>
            <w:shd w:val="clear" w:color="auto" w:fill="auto"/>
            <w:noWrap/>
            <w:vAlign w:val="center"/>
            <w:hideMark/>
          </w:tcPr>
          <w:p w:rsidR="00667A35" w:rsidRPr="00667A35" w:rsidRDefault="00667A35" w:rsidP="00E12E8B">
            <w:pPr>
              <w:keepNext/>
              <w:overflowPunct/>
              <w:autoSpaceDE/>
              <w:autoSpaceDN/>
              <w:adjustRightInd/>
              <w:jc w:val="center"/>
              <w:textAlignment w:val="auto"/>
              <w:rPr>
                <w:rFonts w:ascii="Calibri" w:hAnsi="Calibri"/>
                <w:color w:val="000000"/>
                <w:sz w:val="22"/>
                <w:szCs w:val="22"/>
              </w:rPr>
            </w:pPr>
            <w:r w:rsidRPr="00667A35">
              <w:rPr>
                <w:rFonts w:ascii="Calibri" w:hAnsi="Calibri"/>
                <w:color w:val="000000"/>
                <w:sz w:val="22"/>
                <w:szCs w:val="22"/>
              </w:rPr>
              <w:t>0.865</w:t>
            </w:r>
          </w:p>
        </w:tc>
        <w:tc>
          <w:tcPr>
            <w:tcW w:w="1600" w:type="dxa"/>
            <w:tcBorders>
              <w:top w:val="nil"/>
              <w:left w:val="nil"/>
              <w:bottom w:val="single" w:sz="4" w:space="0" w:color="auto"/>
              <w:right w:val="single" w:sz="8" w:space="0" w:color="auto"/>
            </w:tcBorders>
            <w:shd w:val="clear" w:color="auto" w:fill="auto"/>
            <w:noWrap/>
            <w:vAlign w:val="center"/>
            <w:hideMark/>
          </w:tcPr>
          <w:p w:rsidR="00667A35" w:rsidRPr="00667A35" w:rsidRDefault="00667A35" w:rsidP="00E12E8B">
            <w:pPr>
              <w:keepNext/>
              <w:overflowPunct/>
              <w:autoSpaceDE/>
              <w:autoSpaceDN/>
              <w:adjustRightInd/>
              <w:jc w:val="center"/>
              <w:textAlignment w:val="auto"/>
              <w:rPr>
                <w:rFonts w:ascii="Calibri" w:hAnsi="Calibri"/>
                <w:color w:val="000000"/>
                <w:sz w:val="22"/>
                <w:szCs w:val="22"/>
              </w:rPr>
            </w:pPr>
            <w:r w:rsidRPr="00667A35">
              <w:rPr>
                <w:rFonts w:ascii="Calibri" w:hAnsi="Calibri"/>
                <w:color w:val="000000"/>
                <w:sz w:val="22"/>
                <w:szCs w:val="22"/>
              </w:rPr>
              <w:t>0.865</w:t>
            </w:r>
          </w:p>
        </w:tc>
      </w:tr>
      <w:tr w:rsidR="00667A35" w:rsidRPr="00667A35" w:rsidTr="00667A35">
        <w:trPr>
          <w:trHeight w:val="300"/>
          <w:jc w:val="center"/>
        </w:trPr>
        <w:tc>
          <w:tcPr>
            <w:tcW w:w="1280" w:type="dxa"/>
            <w:tcBorders>
              <w:top w:val="nil"/>
              <w:left w:val="single" w:sz="8" w:space="0" w:color="auto"/>
              <w:bottom w:val="single" w:sz="4" w:space="0" w:color="auto"/>
              <w:right w:val="single" w:sz="4" w:space="0" w:color="auto"/>
            </w:tcBorders>
            <w:shd w:val="clear" w:color="auto" w:fill="auto"/>
            <w:noWrap/>
            <w:vAlign w:val="center"/>
            <w:hideMark/>
          </w:tcPr>
          <w:p w:rsidR="00667A35" w:rsidRPr="00667A35" w:rsidRDefault="00667A35" w:rsidP="00E12E8B">
            <w:pPr>
              <w:keepNext/>
              <w:overflowPunct/>
              <w:autoSpaceDE/>
              <w:autoSpaceDN/>
              <w:adjustRightInd/>
              <w:jc w:val="center"/>
              <w:textAlignment w:val="auto"/>
              <w:rPr>
                <w:rFonts w:ascii="Calibri" w:hAnsi="Calibri"/>
                <w:color w:val="000000"/>
                <w:sz w:val="22"/>
                <w:szCs w:val="22"/>
              </w:rPr>
            </w:pPr>
            <w:r w:rsidRPr="00667A35">
              <w:rPr>
                <w:rFonts w:ascii="Calibri" w:hAnsi="Calibri"/>
                <w:color w:val="000000"/>
                <w:sz w:val="22"/>
                <w:szCs w:val="22"/>
              </w:rPr>
              <w:t>e(3)</w:t>
            </w:r>
          </w:p>
        </w:tc>
        <w:tc>
          <w:tcPr>
            <w:tcW w:w="1600" w:type="dxa"/>
            <w:tcBorders>
              <w:top w:val="nil"/>
              <w:left w:val="nil"/>
              <w:bottom w:val="single" w:sz="4" w:space="0" w:color="auto"/>
              <w:right w:val="single" w:sz="4" w:space="0" w:color="auto"/>
            </w:tcBorders>
            <w:shd w:val="clear" w:color="auto" w:fill="auto"/>
            <w:noWrap/>
            <w:vAlign w:val="center"/>
            <w:hideMark/>
          </w:tcPr>
          <w:p w:rsidR="00667A35" w:rsidRPr="00667A35" w:rsidRDefault="00667A35" w:rsidP="00E12E8B">
            <w:pPr>
              <w:keepNext/>
              <w:overflowPunct/>
              <w:autoSpaceDE/>
              <w:autoSpaceDN/>
              <w:adjustRightInd/>
              <w:jc w:val="center"/>
              <w:textAlignment w:val="auto"/>
              <w:rPr>
                <w:rFonts w:ascii="Calibri" w:hAnsi="Calibri"/>
                <w:color w:val="000000"/>
                <w:sz w:val="22"/>
                <w:szCs w:val="22"/>
              </w:rPr>
            </w:pPr>
            <w:r w:rsidRPr="00667A35">
              <w:rPr>
                <w:rFonts w:ascii="Calibri" w:hAnsi="Calibri"/>
                <w:color w:val="000000"/>
                <w:sz w:val="22"/>
                <w:szCs w:val="22"/>
              </w:rPr>
              <w:t>0.942</w:t>
            </w:r>
          </w:p>
        </w:tc>
        <w:tc>
          <w:tcPr>
            <w:tcW w:w="1600" w:type="dxa"/>
            <w:tcBorders>
              <w:top w:val="nil"/>
              <w:left w:val="nil"/>
              <w:bottom w:val="single" w:sz="4" w:space="0" w:color="auto"/>
              <w:right w:val="single" w:sz="8" w:space="0" w:color="auto"/>
            </w:tcBorders>
            <w:shd w:val="clear" w:color="auto" w:fill="auto"/>
            <w:noWrap/>
            <w:vAlign w:val="center"/>
            <w:hideMark/>
          </w:tcPr>
          <w:p w:rsidR="00667A35" w:rsidRPr="00667A35" w:rsidRDefault="00667A35" w:rsidP="00E12E8B">
            <w:pPr>
              <w:keepNext/>
              <w:overflowPunct/>
              <w:autoSpaceDE/>
              <w:autoSpaceDN/>
              <w:adjustRightInd/>
              <w:jc w:val="center"/>
              <w:textAlignment w:val="auto"/>
              <w:rPr>
                <w:rFonts w:ascii="Calibri" w:hAnsi="Calibri"/>
                <w:color w:val="000000"/>
                <w:sz w:val="22"/>
                <w:szCs w:val="22"/>
              </w:rPr>
            </w:pPr>
            <w:r w:rsidRPr="00667A35">
              <w:rPr>
                <w:rFonts w:ascii="Calibri" w:hAnsi="Calibri"/>
                <w:color w:val="000000"/>
                <w:sz w:val="22"/>
                <w:szCs w:val="22"/>
              </w:rPr>
              <w:t>0.942</w:t>
            </w:r>
          </w:p>
        </w:tc>
      </w:tr>
      <w:tr w:rsidR="00667A35" w:rsidRPr="00667A35" w:rsidTr="00667A35">
        <w:trPr>
          <w:trHeight w:val="300"/>
          <w:jc w:val="center"/>
        </w:trPr>
        <w:tc>
          <w:tcPr>
            <w:tcW w:w="1280" w:type="dxa"/>
            <w:tcBorders>
              <w:top w:val="nil"/>
              <w:left w:val="single" w:sz="8" w:space="0" w:color="auto"/>
              <w:bottom w:val="single" w:sz="4" w:space="0" w:color="auto"/>
              <w:right w:val="single" w:sz="4" w:space="0" w:color="auto"/>
            </w:tcBorders>
            <w:shd w:val="clear" w:color="auto" w:fill="auto"/>
            <w:noWrap/>
            <w:vAlign w:val="center"/>
            <w:hideMark/>
          </w:tcPr>
          <w:p w:rsidR="00667A35" w:rsidRPr="00667A35" w:rsidRDefault="00667A35" w:rsidP="00E12E8B">
            <w:pPr>
              <w:keepNext/>
              <w:overflowPunct/>
              <w:autoSpaceDE/>
              <w:autoSpaceDN/>
              <w:adjustRightInd/>
              <w:jc w:val="center"/>
              <w:textAlignment w:val="auto"/>
              <w:rPr>
                <w:rFonts w:ascii="Calibri" w:hAnsi="Calibri"/>
                <w:color w:val="000000"/>
                <w:sz w:val="22"/>
                <w:szCs w:val="22"/>
              </w:rPr>
            </w:pPr>
            <w:r w:rsidRPr="00667A35">
              <w:rPr>
                <w:rFonts w:ascii="Calibri" w:hAnsi="Calibri"/>
                <w:color w:val="000000"/>
                <w:sz w:val="22"/>
                <w:szCs w:val="22"/>
              </w:rPr>
              <w:t>e(4)</w:t>
            </w:r>
          </w:p>
        </w:tc>
        <w:tc>
          <w:tcPr>
            <w:tcW w:w="1600" w:type="dxa"/>
            <w:tcBorders>
              <w:top w:val="nil"/>
              <w:left w:val="nil"/>
              <w:bottom w:val="single" w:sz="4" w:space="0" w:color="auto"/>
              <w:right w:val="single" w:sz="4" w:space="0" w:color="auto"/>
            </w:tcBorders>
            <w:shd w:val="clear" w:color="auto" w:fill="auto"/>
            <w:noWrap/>
            <w:vAlign w:val="center"/>
            <w:hideMark/>
          </w:tcPr>
          <w:p w:rsidR="00667A35" w:rsidRPr="00667A35" w:rsidRDefault="00667A35" w:rsidP="00E12E8B">
            <w:pPr>
              <w:keepNext/>
              <w:overflowPunct/>
              <w:autoSpaceDE/>
              <w:autoSpaceDN/>
              <w:adjustRightInd/>
              <w:jc w:val="center"/>
              <w:textAlignment w:val="auto"/>
              <w:rPr>
                <w:rFonts w:ascii="Calibri" w:hAnsi="Calibri"/>
                <w:color w:val="000000"/>
                <w:sz w:val="22"/>
                <w:szCs w:val="22"/>
              </w:rPr>
            </w:pPr>
            <w:r w:rsidRPr="00667A35">
              <w:rPr>
                <w:rFonts w:ascii="Calibri" w:hAnsi="Calibri"/>
                <w:color w:val="000000"/>
                <w:sz w:val="22"/>
                <w:szCs w:val="22"/>
              </w:rPr>
              <w:t>0.964</w:t>
            </w:r>
          </w:p>
        </w:tc>
        <w:tc>
          <w:tcPr>
            <w:tcW w:w="1600" w:type="dxa"/>
            <w:tcBorders>
              <w:top w:val="nil"/>
              <w:left w:val="nil"/>
              <w:bottom w:val="single" w:sz="4" w:space="0" w:color="auto"/>
              <w:right w:val="single" w:sz="8" w:space="0" w:color="auto"/>
            </w:tcBorders>
            <w:shd w:val="clear" w:color="auto" w:fill="auto"/>
            <w:noWrap/>
            <w:vAlign w:val="center"/>
            <w:hideMark/>
          </w:tcPr>
          <w:p w:rsidR="00667A35" w:rsidRPr="00667A35" w:rsidRDefault="00667A35" w:rsidP="00E12E8B">
            <w:pPr>
              <w:keepNext/>
              <w:overflowPunct/>
              <w:autoSpaceDE/>
              <w:autoSpaceDN/>
              <w:adjustRightInd/>
              <w:jc w:val="center"/>
              <w:textAlignment w:val="auto"/>
              <w:rPr>
                <w:rFonts w:ascii="Calibri" w:hAnsi="Calibri"/>
                <w:color w:val="000000"/>
                <w:sz w:val="22"/>
                <w:szCs w:val="22"/>
              </w:rPr>
            </w:pPr>
            <w:r w:rsidRPr="00667A35">
              <w:rPr>
                <w:rFonts w:ascii="Calibri" w:hAnsi="Calibri"/>
                <w:color w:val="000000"/>
                <w:sz w:val="22"/>
                <w:szCs w:val="22"/>
              </w:rPr>
              <w:t>0.964</w:t>
            </w:r>
          </w:p>
        </w:tc>
      </w:tr>
      <w:tr w:rsidR="00667A35" w:rsidRPr="00667A35" w:rsidTr="00667A35">
        <w:trPr>
          <w:trHeight w:val="300"/>
          <w:jc w:val="center"/>
        </w:trPr>
        <w:tc>
          <w:tcPr>
            <w:tcW w:w="1280" w:type="dxa"/>
            <w:tcBorders>
              <w:top w:val="nil"/>
              <w:left w:val="single" w:sz="8" w:space="0" w:color="auto"/>
              <w:bottom w:val="single" w:sz="4" w:space="0" w:color="auto"/>
              <w:right w:val="single" w:sz="4" w:space="0" w:color="auto"/>
            </w:tcBorders>
            <w:shd w:val="clear" w:color="auto" w:fill="auto"/>
            <w:noWrap/>
            <w:vAlign w:val="center"/>
            <w:hideMark/>
          </w:tcPr>
          <w:p w:rsidR="00667A35" w:rsidRPr="00667A35" w:rsidRDefault="00667A35" w:rsidP="00E12E8B">
            <w:pPr>
              <w:keepNext/>
              <w:overflowPunct/>
              <w:autoSpaceDE/>
              <w:autoSpaceDN/>
              <w:adjustRightInd/>
              <w:jc w:val="center"/>
              <w:textAlignment w:val="auto"/>
              <w:rPr>
                <w:rFonts w:ascii="Calibri" w:hAnsi="Calibri"/>
                <w:color w:val="000000"/>
                <w:sz w:val="22"/>
                <w:szCs w:val="22"/>
              </w:rPr>
            </w:pPr>
            <w:r w:rsidRPr="00667A35">
              <w:rPr>
                <w:rFonts w:ascii="Calibri" w:hAnsi="Calibri"/>
                <w:color w:val="000000"/>
                <w:sz w:val="22"/>
                <w:szCs w:val="22"/>
              </w:rPr>
              <w:t>e(5)</w:t>
            </w:r>
          </w:p>
        </w:tc>
        <w:tc>
          <w:tcPr>
            <w:tcW w:w="1600" w:type="dxa"/>
            <w:tcBorders>
              <w:top w:val="nil"/>
              <w:left w:val="nil"/>
              <w:bottom w:val="single" w:sz="4" w:space="0" w:color="auto"/>
              <w:right w:val="single" w:sz="4" w:space="0" w:color="auto"/>
            </w:tcBorders>
            <w:shd w:val="clear" w:color="auto" w:fill="auto"/>
            <w:noWrap/>
            <w:vAlign w:val="center"/>
            <w:hideMark/>
          </w:tcPr>
          <w:p w:rsidR="00667A35" w:rsidRPr="00667A35" w:rsidRDefault="00667A35" w:rsidP="00E12E8B">
            <w:pPr>
              <w:keepNext/>
              <w:overflowPunct/>
              <w:autoSpaceDE/>
              <w:autoSpaceDN/>
              <w:adjustRightInd/>
              <w:jc w:val="center"/>
              <w:textAlignment w:val="auto"/>
              <w:rPr>
                <w:rFonts w:ascii="Calibri" w:hAnsi="Calibri"/>
                <w:color w:val="000000"/>
                <w:sz w:val="22"/>
                <w:szCs w:val="22"/>
              </w:rPr>
            </w:pPr>
            <w:r w:rsidRPr="00667A35">
              <w:rPr>
                <w:rFonts w:ascii="Calibri" w:hAnsi="Calibri"/>
                <w:color w:val="000000"/>
                <w:sz w:val="22"/>
                <w:szCs w:val="22"/>
              </w:rPr>
              <w:t>0.980</w:t>
            </w:r>
          </w:p>
        </w:tc>
        <w:tc>
          <w:tcPr>
            <w:tcW w:w="1600" w:type="dxa"/>
            <w:tcBorders>
              <w:top w:val="nil"/>
              <w:left w:val="nil"/>
              <w:bottom w:val="single" w:sz="4" w:space="0" w:color="auto"/>
              <w:right w:val="single" w:sz="8" w:space="0" w:color="auto"/>
            </w:tcBorders>
            <w:shd w:val="clear" w:color="auto" w:fill="auto"/>
            <w:noWrap/>
            <w:vAlign w:val="center"/>
            <w:hideMark/>
          </w:tcPr>
          <w:p w:rsidR="00667A35" w:rsidRPr="00667A35" w:rsidRDefault="00667A35" w:rsidP="00E12E8B">
            <w:pPr>
              <w:keepNext/>
              <w:overflowPunct/>
              <w:autoSpaceDE/>
              <w:autoSpaceDN/>
              <w:adjustRightInd/>
              <w:jc w:val="center"/>
              <w:textAlignment w:val="auto"/>
              <w:rPr>
                <w:rFonts w:ascii="Calibri" w:hAnsi="Calibri"/>
                <w:color w:val="000000"/>
                <w:sz w:val="22"/>
                <w:szCs w:val="22"/>
              </w:rPr>
            </w:pPr>
            <w:r w:rsidRPr="00667A35">
              <w:rPr>
                <w:rFonts w:ascii="Calibri" w:hAnsi="Calibri"/>
                <w:color w:val="000000"/>
                <w:sz w:val="22"/>
                <w:szCs w:val="22"/>
              </w:rPr>
              <w:t>0.980</w:t>
            </w:r>
          </w:p>
        </w:tc>
      </w:tr>
      <w:tr w:rsidR="00667A35" w:rsidRPr="00667A35" w:rsidTr="00667A35">
        <w:trPr>
          <w:trHeight w:val="300"/>
          <w:jc w:val="center"/>
        </w:trPr>
        <w:tc>
          <w:tcPr>
            <w:tcW w:w="1280" w:type="dxa"/>
            <w:tcBorders>
              <w:top w:val="nil"/>
              <w:left w:val="single" w:sz="8" w:space="0" w:color="auto"/>
              <w:bottom w:val="single" w:sz="4" w:space="0" w:color="auto"/>
              <w:right w:val="single" w:sz="4" w:space="0" w:color="auto"/>
            </w:tcBorders>
            <w:shd w:val="clear" w:color="auto" w:fill="auto"/>
            <w:noWrap/>
            <w:vAlign w:val="center"/>
            <w:hideMark/>
          </w:tcPr>
          <w:p w:rsidR="00667A35" w:rsidRPr="00667A35" w:rsidRDefault="00667A35" w:rsidP="00E12E8B">
            <w:pPr>
              <w:keepNext/>
              <w:overflowPunct/>
              <w:autoSpaceDE/>
              <w:autoSpaceDN/>
              <w:adjustRightInd/>
              <w:jc w:val="center"/>
              <w:textAlignment w:val="auto"/>
              <w:rPr>
                <w:rFonts w:ascii="Calibri" w:hAnsi="Calibri"/>
                <w:color w:val="000000"/>
                <w:sz w:val="22"/>
                <w:szCs w:val="22"/>
              </w:rPr>
            </w:pPr>
            <w:r w:rsidRPr="00667A35">
              <w:rPr>
                <w:rFonts w:ascii="Calibri" w:hAnsi="Calibri"/>
                <w:color w:val="000000"/>
                <w:sz w:val="22"/>
                <w:szCs w:val="22"/>
              </w:rPr>
              <w:t>e(6)</w:t>
            </w:r>
          </w:p>
        </w:tc>
        <w:tc>
          <w:tcPr>
            <w:tcW w:w="1600" w:type="dxa"/>
            <w:tcBorders>
              <w:top w:val="nil"/>
              <w:left w:val="nil"/>
              <w:bottom w:val="single" w:sz="4" w:space="0" w:color="auto"/>
              <w:right w:val="single" w:sz="4" w:space="0" w:color="auto"/>
            </w:tcBorders>
            <w:shd w:val="clear" w:color="auto" w:fill="auto"/>
            <w:noWrap/>
            <w:vAlign w:val="center"/>
            <w:hideMark/>
          </w:tcPr>
          <w:p w:rsidR="00667A35" w:rsidRPr="00667A35" w:rsidRDefault="00667A35" w:rsidP="00E12E8B">
            <w:pPr>
              <w:keepNext/>
              <w:overflowPunct/>
              <w:autoSpaceDE/>
              <w:autoSpaceDN/>
              <w:adjustRightInd/>
              <w:jc w:val="center"/>
              <w:textAlignment w:val="auto"/>
              <w:rPr>
                <w:rFonts w:ascii="Calibri" w:hAnsi="Calibri"/>
                <w:color w:val="000000"/>
                <w:sz w:val="22"/>
                <w:szCs w:val="22"/>
              </w:rPr>
            </w:pPr>
            <w:r w:rsidRPr="00667A35">
              <w:rPr>
                <w:rFonts w:ascii="Calibri" w:hAnsi="Calibri"/>
                <w:color w:val="000000"/>
                <w:sz w:val="22"/>
                <w:szCs w:val="22"/>
              </w:rPr>
              <w:t>0.990</w:t>
            </w:r>
          </w:p>
        </w:tc>
        <w:tc>
          <w:tcPr>
            <w:tcW w:w="1600" w:type="dxa"/>
            <w:tcBorders>
              <w:top w:val="nil"/>
              <w:left w:val="nil"/>
              <w:bottom w:val="single" w:sz="4" w:space="0" w:color="auto"/>
              <w:right w:val="single" w:sz="8" w:space="0" w:color="auto"/>
            </w:tcBorders>
            <w:shd w:val="clear" w:color="auto" w:fill="auto"/>
            <w:noWrap/>
            <w:vAlign w:val="center"/>
            <w:hideMark/>
          </w:tcPr>
          <w:p w:rsidR="00667A35" w:rsidRPr="00667A35" w:rsidRDefault="00667A35" w:rsidP="00E12E8B">
            <w:pPr>
              <w:keepNext/>
              <w:overflowPunct/>
              <w:autoSpaceDE/>
              <w:autoSpaceDN/>
              <w:adjustRightInd/>
              <w:jc w:val="center"/>
              <w:textAlignment w:val="auto"/>
              <w:rPr>
                <w:rFonts w:ascii="Calibri" w:hAnsi="Calibri"/>
                <w:color w:val="000000"/>
                <w:sz w:val="22"/>
                <w:szCs w:val="22"/>
              </w:rPr>
            </w:pPr>
            <w:r w:rsidRPr="00667A35">
              <w:rPr>
                <w:rFonts w:ascii="Calibri" w:hAnsi="Calibri"/>
                <w:color w:val="000000"/>
                <w:sz w:val="22"/>
                <w:szCs w:val="22"/>
              </w:rPr>
              <w:t>0.990</w:t>
            </w:r>
          </w:p>
        </w:tc>
      </w:tr>
      <w:tr w:rsidR="00667A35" w:rsidRPr="00667A35" w:rsidTr="00667A35">
        <w:trPr>
          <w:trHeight w:val="300"/>
          <w:jc w:val="center"/>
        </w:trPr>
        <w:tc>
          <w:tcPr>
            <w:tcW w:w="1280" w:type="dxa"/>
            <w:tcBorders>
              <w:top w:val="nil"/>
              <w:left w:val="single" w:sz="8" w:space="0" w:color="auto"/>
              <w:bottom w:val="single" w:sz="4" w:space="0" w:color="auto"/>
              <w:right w:val="single" w:sz="4" w:space="0" w:color="auto"/>
            </w:tcBorders>
            <w:shd w:val="clear" w:color="auto" w:fill="auto"/>
            <w:noWrap/>
            <w:vAlign w:val="center"/>
            <w:hideMark/>
          </w:tcPr>
          <w:p w:rsidR="00667A35" w:rsidRPr="00667A35" w:rsidRDefault="00667A35" w:rsidP="00E12E8B">
            <w:pPr>
              <w:keepNext/>
              <w:overflowPunct/>
              <w:autoSpaceDE/>
              <w:autoSpaceDN/>
              <w:adjustRightInd/>
              <w:jc w:val="center"/>
              <w:textAlignment w:val="auto"/>
              <w:rPr>
                <w:rFonts w:ascii="Calibri" w:hAnsi="Calibri"/>
                <w:color w:val="000000"/>
                <w:sz w:val="22"/>
                <w:szCs w:val="22"/>
              </w:rPr>
            </w:pPr>
            <w:r w:rsidRPr="00667A35">
              <w:rPr>
                <w:rFonts w:ascii="Calibri" w:hAnsi="Calibri"/>
                <w:color w:val="000000"/>
                <w:sz w:val="22"/>
                <w:szCs w:val="22"/>
              </w:rPr>
              <w:t>e(7)</w:t>
            </w:r>
          </w:p>
        </w:tc>
        <w:tc>
          <w:tcPr>
            <w:tcW w:w="1600" w:type="dxa"/>
            <w:tcBorders>
              <w:top w:val="nil"/>
              <w:left w:val="nil"/>
              <w:bottom w:val="single" w:sz="4" w:space="0" w:color="auto"/>
              <w:right w:val="single" w:sz="4" w:space="0" w:color="auto"/>
            </w:tcBorders>
            <w:shd w:val="clear" w:color="auto" w:fill="auto"/>
            <w:noWrap/>
            <w:vAlign w:val="center"/>
            <w:hideMark/>
          </w:tcPr>
          <w:p w:rsidR="00667A35" w:rsidRPr="00667A35" w:rsidRDefault="00667A35" w:rsidP="00E12E8B">
            <w:pPr>
              <w:keepNext/>
              <w:overflowPunct/>
              <w:autoSpaceDE/>
              <w:autoSpaceDN/>
              <w:adjustRightInd/>
              <w:jc w:val="center"/>
              <w:textAlignment w:val="auto"/>
              <w:rPr>
                <w:rFonts w:ascii="Calibri" w:hAnsi="Calibri"/>
                <w:color w:val="000000"/>
                <w:sz w:val="22"/>
                <w:szCs w:val="22"/>
              </w:rPr>
            </w:pPr>
            <w:r w:rsidRPr="00667A35">
              <w:rPr>
                <w:rFonts w:ascii="Calibri" w:hAnsi="Calibri"/>
                <w:color w:val="000000"/>
                <w:sz w:val="22"/>
                <w:szCs w:val="22"/>
              </w:rPr>
              <w:t>0.995</w:t>
            </w:r>
          </w:p>
        </w:tc>
        <w:tc>
          <w:tcPr>
            <w:tcW w:w="1600" w:type="dxa"/>
            <w:tcBorders>
              <w:top w:val="nil"/>
              <w:left w:val="nil"/>
              <w:bottom w:val="single" w:sz="4" w:space="0" w:color="auto"/>
              <w:right w:val="single" w:sz="8" w:space="0" w:color="auto"/>
            </w:tcBorders>
            <w:shd w:val="clear" w:color="auto" w:fill="auto"/>
            <w:noWrap/>
            <w:vAlign w:val="center"/>
            <w:hideMark/>
          </w:tcPr>
          <w:p w:rsidR="00667A35" w:rsidRPr="00667A35" w:rsidRDefault="00667A35" w:rsidP="00E12E8B">
            <w:pPr>
              <w:keepNext/>
              <w:overflowPunct/>
              <w:autoSpaceDE/>
              <w:autoSpaceDN/>
              <w:adjustRightInd/>
              <w:jc w:val="center"/>
              <w:textAlignment w:val="auto"/>
              <w:rPr>
                <w:rFonts w:ascii="Calibri" w:hAnsi="Calibri"/>
                <w:color w:val="000000"/>
                <w:sz w:val="22"/>
                <w:szCs w:val="22"/>
              </w:rPr>
            </w:pPr>
            <w:r w:rsidRPr="00667A35">
              <w:rPr>
                <w:rFonts w:ascii="Calibri" w:hAnsi="Calibri"/>
                <w:color w:val="000000"/>
                <w:sz w:val="22"/>
                <w:szCs w:val="22"/>
              </w:rPr>
              <w:t>0.995</w:t>
            </w:r>
          </w:p>
        </w:tc>
      </w:tr>
      <w:tr w:rsidR="00667A35" w:rsidRPr="00667A35" w:rsidTr="00667A35">
        <w:trPr>
          <w:trHeight w:val="300"/>
          <w:jc w:val="center"/>
        </w:trPr>
        <w:tc>
          <w:tcPr>
            <w:tcW w:w="1280" w:type="dxa"/>
            <w:tcBorders>
              <w:top w:val="nil"/>
              <w:left w:val="single" w:sz="8" w:space="0" w:color="auto"/>
              <w:bottom w:val="single" w:sz="4" w:space="0" w:color="auto"/>
              <w:right w:val="single" w:sz="4" w:space="0" w:color="auto"/>
            </w:tcBorders>
            <w:shd w:val="clear" w:color="auto" w:fill="auto"/>
            <w:noWrap/>
            <w:vAlign w:val="center"/>
            <w:hideMark/>
          </w:tcPr>
          <w:p w:rsidR="00667A35" w:rsidRPr="00667A35" w:rsidRDefault="00667A35" w:rsidP="00E12E8B">
            <w:pPr>
              <w:keepNext/>
              <w:overflowPunct/>
              <w:autoSpaceDE/>
              <w:autoSpaceDN/>
              <w:adjustRightInd/>
              <w:jc w:val="center"/>
              <w:textAlignment w:val="auto"/>
              <w:rPr>
                <w:rFonts w:ascii="Calibri" w:hAnsi="Calibri"/>
                <w:color w:val="000000"/>
                <w:sz w:val="22"/>
                <w:szCs w:val="22"/>
              </w:rPr>
            </w:pPr>
            <w:r w:rsidRPr="00667A35">
              <w:rPr>
                <w:rFonts w:ascii="Calibri" w:hAnsi="Calibri"/>
                <w:color w:val="000000"/>
                <w:sz w:val="22"/>
                <w:szCs w:val="22"/>
              </w:rPr>
              <w:t>e(8)</w:t>
            </w:r>
          </w:p>
        </w:tc>
        <w:tc>
          <w:tcPr>
            <w:tcW w:w="1600" w:type="dxa"/>
            <w:tcBorders>
              <w:top w:val="nil"/>
              <w:left w:val="nil"/>
              <w:bottom w:val="single" w:sz="4" w:space="0" w:color="auto"/>
              <w:right w:val="single" w:sz="4" w:space="0" w:color="auto"/>
            </w:tcBorders>
            <w:shd w:val="clear" w:color="auto" w:fill="auto"/>
            <w:noWrap/>
            <w:vAlign w:val="center"/>
            <w:hideMark/>
          </w:tcPr>
          <w:p w:rsidR="00667A35" w:rsidRPr="00667A35" w:rsidRDefault="00667A35" w:rsidP="00E12E8B">
            <w:pPr>
              <w:keepNext/>
              <w:overflowPunct/>
              <w:autoSpaceDE/>
              <w:autoSpaceDN/>
              <w:adjustRightInd/>
              <w:jc w:val="center"/>
              <w:textAlignment w:val="auto"/>
              <w:rPr>
                <w:rFonts w:ascii="Calibri" w:hAnsi="Calibri"/>
                <w:color w:val="000000"/>
                <w:sz w:val="22"/>
                <w:szCs w:val="22"/>
              </w:rPr>
            </w:pPr>
            <w:r w:rsidRPr="00667A35">
              <w:rPr>
                <w:rFonts w:ascii="Calibri" w:hAnsi="Calibri"/>
                <w:color w:val="000000"/>
                <w:sz w:val="22"/>
                <w:szCs w:val="22"/>
              </w:rPr>
              <w:t>0.997</w:t>
            </w:r>
          </w:p>
        </w:tc>
        <w:tc>
          <w:tcPr>
            <w:tcW w:w="1600" w:type="dxa"/>
            <w:tcBorders>
              <w:top w:val="nil"/>
              <w:left w:val="nil"/>
              <w:bottom w:val="single" w:sz="4" w:space="0" w:color="auto"/>
              <w:right w:val="single" w:sz="8" w:space="0" w:color="auto"/>
            </w:tcBorders>
            <w:shd w:val="clear" w:color="auto" w:fill="auto"/>
            <w:noWrap/>
            <w:vAlign w:val="center"/>
            <w:hideMark/>
          </w:tcPr>
          <w:p w:rsidR="00667A35" w:rsidRPr="00667A35" w:rsidRDefault="00667A35" w:rsidP="00E12E8B">
            <w:pPr>
              <w:keepNext/>
              <w:overflowPunct/>
              <w:autoSpaceDE/>
              <w:autoSpaceDN/>
              <w:adjustRightInd/>
              <w:jc w:val="center"/>
              <w:textAlignment w:val="auto"/>
              <w:rPr>
                <w:rFonts w:ascii="Calibri" w:hAnsi="Calibri"/>
                <w:color w:val="000000"/>
                <w:sz w:val="22"/>
                <w:szCs w:val="22"/>
              </w:rPr>
            </w:pPr>
            <w:r w:rsidRPr="00667A35">
              <w:rPr>
                <w:rFonts w:ascii="Calibri" w:hAnsi="Calibri"/>
                <w:color w:val="000000"/>
                <w:sz w:val="22"/>
                <w:szCs w:val="22"/>
              </w:rPr>
              <w:t>0.997</w:t>
            </w:r>
          </w:p>
        </w:tc>
      </w:tr>
      <w:tr w:rsidR="00667A35" w:rsidRPr="00667A35" w:rsidTr="00667A35">
        <w:trPr>
          <w:trHeight w:val="300"/>
          <w:jc w:val="center"/>
        </w:trPr>
        <w:tc>
          <w:tcPr>
            <w:tcW w:w="1280" w:type="dxa"/>
            <w:tcBorders>
              <w:top w:val="nil"/>
              <w:left w:val="single" w:sz="8" w:space="0" w:color="auto"/>
              <w:bottom w:val="single" w:sz="4" w:space="0" w:color="auto"/>
              <w:right w:val="single" w:sz="4" w:space="0" w:color="auto"/>
            </w:tcBorders>
            <w:shd w:val="clear" w:color="auto" w:fill="auto"/>
            <w:noWrap/>
            <w:vAlign w:val="center"/>
            <w:hideMark/>
          </w:tcPr>
          <w:p w:rsidR="00667A35" w:rsidRPr="00667A35" w:rsidRDefault="00667A35" w:rsidP="00E12E8B">
            <w:pPr>
              <w:keepNext/>
              <w:overflowPunct/>
              <w:autoSpaceDE/>
              <w:autoSpaceDN/>
              <w:adjustRightInd/>
              <w:jc w:val="center"/>
              <w:textAlignment w:val="auto"/>
              <w:rPr>
                <w:rFonts w:ascii="Calibri" w:hAnsi="Calibri"/>
                <w:color w:val="000000"/>
                <w:sz w:val="22"/>
                <w:szCs w:val="22"/>
              </w:rPr>
            </w:pPr>
            <w:r w:rsidRPr="00667A35">
              <w:rPr>
                <w:rFonts w:ascii="Calibri" w:hAnsi="Calibri"/>
                <w:color w:val="000000"/>
                <w:sz w:val="22"/>
                <w:szCs w:val="22"/>
              </w:rPr>
              <w:t>e(9)</w:t>
            </w:r>
          </w:p>
        </w:tc>
        <w:tc>
          <w:tcPr>
            <w:tcW w:w="1600" w:type="dxa"/>
            <w:tcBorders>
              <w:top w:val="nil"/>
              <w:left w:val="nil"/>
              <w:bottom w:val="single" w:sz="4" w:space="0" w:color="auto"/>
              <w:right w:val="single" w:sz="4" w:space="0" w:color="auto"/>
            </w:tcBorders>
            <w:shd w:val="clear" w:color="auto" w:fill="auto"/>
            <w:noWrap/>
            <w:vAlign w:val="center"/>
            <w:hideMark/>
          </w:tcPr>
          <w:p w:rsidR="00667A35" w:rsidRPr="00667A35" w:rsidRDefault="00667A35" w:rsidP="00E12E8B">
            <w:pPr>
              <w:keepNext/>
              <w:overflowPunct/>
              <w:autoSpaceDE/>
              <w:autoSpaceDN/>
              <w:adjustRightInd/>
              <w:jc w:val="center"/>
              <w:textAlignment w:val="auto"/>
              <w:rPr>
                <w:rFonts w:ascii="Calibri" w:hAnsi="Calibri"/>
                <w:color w:val="000000"/>
                <w:sz w:val="22"/>
                <w:szCs w:val="22"/>
              </w:rPr>
            </w:pPr>
            <w:r w:rsidRPr="00667A35">
              <w:rPr>
                <w:rFonts w:ascii="Calibri" w:hAnsi="Calibri"/>
                <w:color w:val="000000"/>
                <w:sz w:val="22"/>
                <w:szCs w:val="22"/>
              </w:rPr>
              <w:t>0.999</w:t>
            </w:r>
          </w:p>
        </w:tc>
        <w:tc>
          <w:tcPr>
            <w:tcW w:w="1600" w:type="dxa"/>
            <w:tcBorders>
              <w:top w:val="nil"/>
              <w:left w:val="nil"/>
              <w:bottom w:val="single" w:sz="4" w:space="0" w:color="auto"/>
              <w:right w:val="single" w:sz="8" w:space="0" w:color="auto"/>
            </w:tcBorders>
            <w:shd w:val="clear" w:color="auto" w:fill="auto"/>
            <w:noWrap/>
            <w:vAlign w:val="center"/>
            <w:hideMark/>
          </w:tcPr>
          <w:p w:rsidR="00667A35" w:rsidRPr="00667A35" w:rsidRDefault="00667A35" w:rsidP="00E12E8B">
            <w:pPr>
              <w:keepNext/>
              <w:overflowPunct/>
              <w:autoSpaceDE/>
              <w:autoSpaceDN/>
              <w:adjustRightInd/>
              <w:jc w:val="center"/>
              <w:textAlignment w:val="auto"/>
              <w:rPr>
                <w:rFonts w:ascii="Calibri" w:hAnsi="Calibri"/>
                <w:color w:val="000000"/>
                <w:sz w:val="22"/>
                <w:szCs w:val="22"/>
              </w:rPr>
            </w:pPr>
            <w:r w:rsidRPr="00667A35">
              <w:rPr>
                <w:rFonts w:ascii="Calibri" w:hAnsi="Calibri"/>
                <w:color w:val="000000"/>
                <w:sz w:val="22"/>
                <w:szCs w:val="22"/>
              </w:rPr>
              <w:t>0.999</w:t>
            </w:r>
          </w:p>
        </w:tc>
      </w:tr>
      <w:tr w:rsidR="00667A35" w:rsidRPr="00667A35" w:rsidTr="00667A35">
        <w:trPr>
          <w:trHeight w:val="300"/>
          <w:jc w:val="center"/>
        </w:trPr>
        <w:tc>
          <w:tcPr>
            <w:tcW w:w="1280" w:type="dxa"/>
            <w:tcBorders>
              <w:top w:val="nil"/>
              <w:left w:val="single" w:sz="8" w:space="0" w:color="auto"/>
              <w:bottom w:val="single" w:sz="4" w:space="0" w:color="auto"/>
              <w:right w:val="single" w:sz="4" w:space="0" w:color="auto"/>
            </w:tcBorders>
            <w:shd w:val="clear" w:color="auto" w:fill="auto"/>
            <w:noWrap/>
            <w:vAlign w:val="center"/>
            <w:hideMark/>
          </w:tcPr>
          <w:p w:rsidR="00667A35" w:rsidRPr="00667A35" w:rsidRDefault="00667A35" w:rsidP="00E12E8B">
            <w:pPr>
              <w:keepNext/>
              <w:overflowPunct/>
              <w:autoSpaceDE/>
              <w:autoSpaceDN/>
              <w:adjustRightInd/>
              <w:jc w:val="center"/>
              <w:textAlignment w:val="auto"/>
              <w:rPr>
                <w:rFonts w:ascii="Calibri" w:hAnsi="Calibri"/>
                <w:color w:val="000000"/>
                <w:sz w:val="22"/>
                <w:szCs w:val="22"/>
              </w:rPr>
            </w:pPr>
            <w:r w:rsidRPr="00667A35">
              <w:rPr>
                <w:rFonts w:ascii="Calibri" w:hAnsi="Calibri"/>
                <w:color w:val="000000"/>
                <w:sz w:val="22"/>
                <w:szCs w:val="22"/>
              </w:rPr>
              <w:t>e(10)</w:t>
            </w:r>
          </w:p>
        </w:tc>
        <w:tc>
          <w:tcPr>
            <w:tcW w:w="1600" w:type="dxa"/>
            <w:tcBorders>
              <w:top w:val="nil"/>
              <w:left w:val="nil"/>
              <w:bottom w:val="single" w:sz="4" w:space="0" w:color="auto"/>
              <w:right w:val="single" w:sz="4" w:space="0" w:color="auto"/>
            </w:tcBorders>
            <w:shd w:val="clear" w:color="auto" w:fill="auto"/>
            <w:noWrap/>
            <w:vAlign w:val="center"/>
            <w:hideMark/>
          </w:tcPr>
          <w:p w:rsidR="00667A35" w:rsidRPr="00667A35" w:rsidRDefault="00667A35" w:rsidP="00E12E8B">
            <w:pPr>
              <w:keepNext/>
              <w:overflowPunct/>
              <w:autoSpaceDE/>
              <w:autoSpaceDN/>
              <w:adjustRightInd/>
              <w:jc w:val="center"/>
              <w:textAlignment w:val="auto"/>
              <w:rPr>
                <w:rFonts w:ascii="Calibri" w:hAnsi="Calibri"/>
                <w:color w:val="000000"/>
                <w:sz w:val="22"/>
                <w:szCs w:val="22"/>
              </w:rPr>
            </w:pPr>
            <w:r w:rsidRPr="00667A35">
              <w:rPr>
                <w:rFonts w:ascii="Calibri" w:hAnsi="Calibri"/>
                <w:color w:val="000000"/>
                <w:sz w:val="22"/>
                <w:szCs w:val="22"/>
              </w:rPr>
              <w:t>1.000</w:t>
            </w:r>
          </w:p>
        </w:tc>
        <w:tc>
          <w:tcPr>
            <w:tcW w:w="1600" w:type="dxa"/>
            <w:tcBorders>
              <w:top w:val="nil"/>
              <w:left w:val="nil"/>
              <w:bottom w:val="single" w:sz="4" w:space="0" w:color="auto"/>
              <w:right w:val="single" w:sz="8" w:space="0" w:color="auto"/>
            </w:tcBorders>
            <w:shd w:val="clear" w:color="auto" w:fill="auto"/>
            <w:noWrap/>
            <w:vAlign w:val="center"/>
            <w:hideMark/>
          </w:tcPr>
          <w:p w:rsidR="00667A35" w:rsidRPr="00667A35" w:rsidRDefault="00667A35" w:rsidP="00E12E8B">
            <w:pPr>
              <w:keepNext/>
              <w:overflowPunct/>
              <w:autoSpaceDE/>
              <w:autoSpaceDN/>
              <w:adjustRightInd/>
              <w:jc w:val="center"/>
              <w:textAlignment w:val="auto"/>
              <w:rPr>
                <w:rFonts w:ascii="Calibri" w:hAnsi="Calibri"/>
                <w:color w:val="000000"/>
                <w:sz w:val="22"/>
                <w:szCs w:val="22"/>
              </w:rPr>
            </w:pPr>
            <w:r w:rsidRPr="00667A35">
              <w:rPr>
                <w:rFonts w:ascii="Calibri" w:hAnsi="Calibri"/>
                <w:color w:val="000000"/>
                <w:sz w:val="22"/>
                <w:szCs w:val="22"/>
              </w:rPr>
              <w:t>1.000</w:t>
            </w:r>
          </w:p>
        </w:tc>
      </w:tr>
      <w:tr w:rsidR="00667A35" w:rsidRPr="00667A35" w:rsidTr="00667A35">
        <w:trPr>
          <w:trHeight w:val="300"/>
          <w:jc w:val="center"/>
        </w:trPr>
        <w:tc>
          <w:tcPr>
            <w:tcW w:w="1280" w:type="dxa"/>
            <w:tcBorders>
              <w:top w:val="nil"/>
              <w:left w:val="single" w:sz="8" w:space="0" w:color="auto"/>
              <w:bottom w:val="single" w:sz="4" w:space="0" w:color="auto"/>
              <w:right w:val="single" w:sz="4" w:space="0" w:color="auto"/>
            </w:tcBorders>
            <w:shd w:val="clear" w:color="auto" w:fill="auto"/>
            <w:noWrap/>
            <w:textDirection w:val="tbRl"/>
            <w:vAlign w:val="center"/>
            <w:hideMark/>
          </w:tcPr>
          <w:p w:rsidR="00667A35" w:rsidRPr="00667A35" w:rsidRDefault="00667A35" w:rsidP="00E12E8B">
            <w:pPr>
              <w:keepNext/>
              <w:overflowPunct/>
              <w:autoSpaceDE/>
              <w:autoSpaceDN/>
              <w:adjustRightInd/>
              <w:jc w:val="center"/>
              <w:textAlignment w:val="auto"/>
              <w:rPr>
                <w:rFonts w:ascii="Calibri" w:hAnsi="Calibri"/>
                <w:color w:val="000000"/>
                <w:sz w:val="22"/>
                <w:szCs w:val="22"/>
              </w:rPr>
            </w:pPr>
            <w:r w:rsidRPr="00667A35">
              <w:rPr>
                <w:rFonts w:ascii="Calibri" w:hAnsi="Calibri"/>
                <w:color w:val="000000"/>
                <w:sz w:val="22"/>
                <w:szCs w:val="22"/>
              </w:rPr>
              <w:t>…</w:t>
            </w:r>
          </w:p>
        </w:tc>
        <w:tc>
          <w:tcPr>
            <w:tcW w:w="1600" w:type="dxa"/>
            <w:tcBorders>
              <w:top w:val="nil"/>
              <w:left w:val="nil"/>
              <w:bottom w:val="single" w:sz="4" w:space="0" w:color="auto"/>
              <w:right w:val="single" w:sz="4" w:space="0" w:color="auto"/>
            </w:tcBorders>
            <w:shd w:val="clear" w:color="auto" w:fill="auto"/>
            <w:noWrap/>
            <w:textDirection w:val="tbRl"/>
            <w:vAlign w:val="center"/>
            <w:hideMark/>
          </w:tcPr>
          <w:p w:rsidR="00667A35" w:rsidRPr="00667A35" w:rsidRDefault="00667A35" w:rsidP="00E12E8B">
            <w:pPr>
              <w:keepNext/>
              <w:overflowPunct/>
              <w:autoSpaceDE/>
              <w:autoSpaceDN/>
              <w:adjustRightInd/>
              <w:jc w:val="center"/>
              <w:textAlignment w:val="auto"/>
              <w:rPr>
                <w:rFonts w:ascii="Calibri" w:hAnsi="Calibri"/>
                <w:color w:val="000000"/>
                <w:sz w:val="22"/>
                <w:szCs w:val="22"/>
              </w:rPr>
            </w:pPr>
            <w:r w:rsidRPr="00667A35">
              <w:rPr>
                <w:rFonts w:ascii="Calibri" w:hAnsi="Calibri"/>
                <w:color w:val="000000"/>
                <w:sz w:val="22"/>
                <w:szCs w:val="22"/>
              </w:rPr>
              <w:t>…</w:t>
            </w:r>
          </w:p>
        </w:tc>
        <w:tc>
          <w:tcPr>
            <w:tcW w:w="1600" w:type="dxa"/>
            <w:tcBorders>
              <w:top w:val="nil"/>
              <w:left w:val="nil"/>
              <w:bottom w:val="single" w:sz="4" w:space="0" w:color="auto"/>
              <w:right w:val="single" w:sz="8" w:space="0" w:color="auto"/>
            </w:tcBorders>
            <w:shd w:val="clear" w:color="auto" w:fill="auto"/>
            <w:noWrap/>
            <w:textDirection w:val="tbRl"/>
            <w:vAlign w:val="center"/>
            <w:hideMark/>
          </w:tcPr>
          <w:p w:rsidR="00667A35" w:rsidRPr="00667A35" w:rsidRDefault="00667A35" w:rsidP="00E12E8B">
            <w:pPr>
              <w:keepNext/>
              <w:overflowPunct/>
              <w:autoSpaceDE/>
              <w:autoSpaceDN/>
              <w:adjustRightInd/>
              <w:jc w:val="center"/>
              <w:textAlignment w:val="auto"/>
              <w:rPr>
                <w:rFonts w:ascii="Calibri" w:hAnsi="Calibri"/>
                <w:color w:val="000000"/>
                <w:sz w:val="22"/>
                <w:szCs w:val="22"/>
              </w:rPr>
            </w:pPr>
            <w:r w:rsidRPr="00667A35">
              <w:rPr>
                <w:rFonts w:ascii="Calibri" w:hAnsi="Calibri"/>
                <w:color w:val="000000"/>
                <w:sz w:val="22"/>
                <w:szCs w:val="22"/>
              </w:rPr>
              <w:t>…</w:t>
            </w:r>
          </w:p>
        </w:tc>
      </w:tr>
      <w:tr w:rsidR="00667A35" w:rsidRPr="00667A35" w:rsidTr="00667A35">
        <w:trPr>
          <w:trHeight w:val="315"/>
          <w:jc w:val="center"/>
        </w:trPr>
        <w:tc>
          <w:tcPr>
            <w:tcW w:w="1280" w:type="dxa"/>
            <w:tcBorders>
              <w:top w:val="nil"/>
              <w:left w:val="single" w:sz="8" w:space="0" w:color="auto"/>
              <w:bottom w:val="single" w:sz="8" w:space="0" w:color="auto"/>
              <w:right w:val="single" w:sz="4" w:space="0" w:color="auto"/>
            </w:tcBorders>
            <w:shd w:val="clear" w:color="auto" w:fill="auto"/>
            <w:noWrap/>
            <w:vAlign w:val="center"/>
            <w:hideMark/>
          </w:tcPr>
          <w:p w:rsidR="00667A35" w:rsidRPr="00667A35" w:rsidRDefault="00667A35" w:rsidP="00667A35">
            <w:pPr>
              <w:overflowPunct/>
              <w:autoSpaceDE/>
              <w:autoSpaceDN/>
              <w:adjustRightInd/>
              <w:jc w:val="center"/>
              <w:textAlignment w:val="auto"/>
              <w:rPr>
                <w:rFonts w:ascii="Calibri" w:hAnsi="Calibri"/>
                <w:color w:val="000000"/>
                <w:sz w:val="22"/>
                <w:szCs w:val="22"/>
              </w:rPr>
            </w:pPr>
            <w:r w:rsidRPr="00667A35">
              <w:rPr>
                <w:rFonts w:ascii="Calibri" w:hAnsi="Calibri"/>
                <w:color w:val="000000"/>
                <w:sz w:val="22"/>
                <w:szCs w:val="22"/>
              </w:rPr>
              <w:t>e(51)</w:t>
            </w:r>
          </w:p>
        </w:tc>
        <w:tc>
          <w:tcPr>
            <w:tcW w:w="1600" w:type="dxa"/>
            <w:tcBorders>
              <w:top w:val="nil"/>
              <w:left w:val="nil"/>
              <w:bottom w:val="single" w:sz="8" w:space="0" w:color="auto"/>
              <w:right w:val="single" w:sz="4" w:space="0" w:color="auto"/>
            </w:tcBorders>
            <w:shd w:val="clear" w:color="auto" w:fill="auto"/>
            <w:noWrap/>
            <w:vAlign w:val="center"/>
            <w:hideMark/>
          </w:tcPr>
          <w:p w:rsidR="00667A35" w:rsidRPr="00667A35" w:rsidRDefault="00667A35" w:rsidP="00667A35">
            <w:pPr>
              <w:overflowPunct/>
              <w:autoSpaceDE/>
              <w:autoSpaceDN/>
              <w:adjustRightInd/>
              <w:jc w:val="center"/>
              <w:textAlignment w:val="auto"/>
              <w:rPr>
                <w:rFonts w:ascii="Calibri" w:hAnsi="Calibri"/>
                <w:color w:val="000000"/>
                <w:sz w:val="22"/>
                <w:szCs w:val="22"/>
              </w:rPr>
            </w:pPr>
            <w:r w:rsidRPr="00667A35">
              <w:rPr>
                <w:rFonts w:ascii="Calibri" w:hAnsi="Calibri"/>
                <w:color w:val="000000"/>
                <w:sz w:val="22"/>
                <w:szCs w:val="22"/>
              </w:rPr>
              <w:t>1.000</w:t>
            </w:r>
          </w:p>
        </w:tc>
        <w:tc>
          <w:tcPr>
            <w:tcW w:w="1600" w:type="dxa"/>
            <w:tcBorders>
              <w:top w:val="nil"/>
              <w:left w:val="nil"/>
              <w:bottom w:val="single" w:sz="8" w:space="0" w:color="auto"/>
              <w:right w:val="single" w:sz="8" w:space="0" w:color="auto"/>
            </w:tcBorders>
            <w:shd w:val="clear" w:color="auto" w:fill="auto"/>
            <w:noWrap/>
            <w:vAlign w:val="center"/>
            <w:hideMark/>
          </w:tcPr>
          <w:p w:rsidR="00667A35" w:rsidRPr="00667A35" w:rsidRDefault="00667A35" w:rsidP="00667A35">
            <w:pPr>
              <w:overflowPunct/>
              <w:autoSpaceDE/>
              <w:autoSpaceDN/>
              <w:adjustRightInd/>
              <w:jc w:val="center"/>
              <w:textAlignment w:val="auto"/>
              <w:rPr>
                <w:rFonts w:ascii="Calibri" w:hAnsi="Calibri"/>
                <w:color w:val="000000"/>
                <w:sz w:val="22"/>
                <w:szCs w:val="22"/>
              </w:rPr>
            </w:pPr>
            <w:r w:rsidRPr="00667A35">
              <w:rPr>
                <w:rFonts w:ascii="Calibri" w:hAnsi="Calibri"/>
                <w:color w:val="000000"/>
                <w:sz w:val="22"/>
                <w:szCs w:val="22"/>
              </w:rPr>
              <w:t>1.000</w:t>
            </w:r>
          </w:p>
        </w:tc>
      </w:tr>
    </w:tbl>
    <w:p w:rsidR="003C3843" w:rsidRDefault="003035A4" w:rsidP="001113A6">
      <w:pPr>
        <w:pStyle w:val="text"/>
      </w:pPr>
      <w:r>
        <w:t>It is suggested to have a sufficient number of factors to cover at least 95% of the movement of the curve.  The first for principal components accomplish this with a cumulative R</w:t>
      </w:r>
      <w:r w:rsidRPr="00DE311E">
        <w:rPr>
          <w:vertAlign w:val="superscript"/>
        </w:rPr>
        <w:t>2</w:t>
      </w:r>
      <w:r>
        <w:t xml:space="preserve"> value of </w:t>
      </w:r>
      <w:r w:rsidR="00DE311E">
        <w:t>96.4%.  The table below illustrates the shape of the four eigenvectors</w:t>
      </w:r>
      <w:r w:rsidR="00E176B7">
        <w:t xml:space="preserve"> for both</w:t>
      </w:r>
      <w:r w:rsidR="00F11A0C">
        <w:t xml:space="preserve"> NumPy and QR decomposition methods</w:t>
      </w:r>
      <w:r w:rsidR="00DE311E">
        <w:t>.</w:t>
      </w:r>
    </w:p>
    <w:p w:rsidR="003C3843" w:rsidRPr="00960BFC" w:rsidRDefault="0007723D" w:rsidP="003C3843">
      <w:pPr>
        <w:pStyle w:val="Heading8"/>
        <w:keepNext/>
      </w:pPr>
      <w:bookmarkStart w:id="4" w:name="_Toc408743806"/>
      <w:r>
        <w:t>Figure 3</w:t>
      </w:r>
      <w:r w:rsidR="003C3843" w:rsidRPr="00960BFC">
        <w:t xml:space="preserve">: </w:t>
      </w:r>
      <w:r w:rsidR="003C3843">
        <w:t xml:space="preserve">First Four </w:t>
      </w:r>
      <w:bookmarkEnd w:id="4"/>
      <w:r w:rsidR="00523B79">
        <w:t>Factors</w:t>
      </w:r>
      <w:r w:rsidR="00F11A0C">
        <w:t xml:space="preserve"> – Numpy</w:t>
      </w:r>
    </w:p>
    <w:p w:rsidR="004D2A55" w:rsidRDefault="001113A6" w:rsidP="008F3EE7">
      <w:pPr>
        <w:pStyle w:val="text"/>
        <w:jc w:val="center"/>
      </w:pPr>
      <w:r>
        <w:rPr>
          <w:noProof/>
        </w:rPr>
        <w:drawing>
          <wp:inline distT="0" distB="0" distL="0" distR="0">
            <wp:extent cx="3772760" cy="2677135"/>
            <wp:effectExtent l="19050" t="19050" r="18190" b="27965"/>
            <wp:docPr id="8" name="Picture 7" descr="C:\Users\Greg\Google Drive\Education\CQF\June 2014\Final Project\figures\principal_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reg\Google Drive\Education\CQF\June 2014\Final Project\figures\principal_components.png"/>
                    <pic:cNvPicPr>
                      <a:picLocks noChangeAspect="1" noChangeArrowheads="1"/>
                    </pic:cNvPicPr>
                  </pic:nvPicPr>
                  <pic:blipFill>
                    <a:blip r:embed="rId10" cstate="print"/>
                    <a:srcRect/>
                    <a:stretch>
                      <a:fillRect/>
                    </a:stretch>
                  </pic:blipFill>
                  <pic:spPr bwMode="auto">
                    <a:xfrm>
                      <a:off x="0" y="0"/>
                      <a:ext cx="3772760" cy="2677135"/>
                    </a:xfrm>
                    <a:prstGeom prst="rect">
                      <a:avLst/>
                    </a:prstGeom>
                    <a:noFill/>
                    <a:ln w="9525">
                      <a:solidFill>
                        <a:schemeClr val="tx1"/>
                      </a:solidFill>
                      <a:miter lim="800000"/>
                      <a:headEnd/>
                      <a:tailEnd/>
                    </a:ln>
                  </pic:spPr>
                </pic:pic>
              </a:graphicData>
            </a:graphic>
          </wp:inline>
        </w:drawing>
      </w:r>
    </w:p>
    <w:p w:rsidR="00F11A0C" w:rsidRDefault="0007723D" w:rsidP="008F3EE7">
      <w:pPr>
        <w:pStyle w:val="text"/>
        <w:jc w:val="center"/>
      </w:pPr>
      <w:r>
        <w:lastRenderedPageBreak/>
        <w:t>Figure 4</w:t>
      </w:r>
      <w:r w:rsidR="00F11A0C" w:rsidRPr="00960BFC">
        <w:t xml:space="preserve">: </w:t>
      </w:r>
      <w:r w:rsidR="00F11A0C">
        <w:t xml:space="preserve">First Four </w:t>
      </w:r>
      <w:r w:rsidR="00523B79">
        <w:t>Factors</w:t>
      </w:r>
      <w:r w:rsidR="00F11A0C">
        <w:t xml:space="preserve"> – QR Decompostion</w:t>
      </w:r>
    </w:p>
    <w:p w:rsidR="00F11A0C" w:rsidRDefault="00F11A0C" w:rsidP="00F11A0C">
      <w:pPr>
        <w:pStyle w:val="text"/>
        <w:jc w:val="center"/>
      </w:pPr>
      <w:r>
        <w:rPr>
          <w:noProof/>
        </w:rPr>
        <w:drawing>
          <wp:inline distT="0" distB="0" distL="0" distR="0">
            <wp:extent cx="3772760" cy="2677135"/>
            <wp:effectExtent l="19050" t="19050" r="18190" b="27965"/>
            <wp:docPr id="34" name="Picture 1" descr="C:\Users\Greg\Google Drive\Education\CQF\June 2014\Final Project\figures\principal_components_qr_decom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g\Google Drive\Education\CQF\June 2014\Final Project\figures\principal_components_qr_decomposition.png"/>
                    <pic:cNvPicPr>
                      <a:picLocks noChangeAspect="1" noChangeArrowheads="1"/>
                    </pic:cNvPicPr>
                  </pic:nvPicPr>
                  <pic:blipFill>
                    <a:blip r:embed="rId11" cstate="print"/>
                    <a:srcRect/>
                    <a:stretch>
                      <a:fillRect/>
                    </a:stretch>
                  </pic:blipFill>
                  <pic:spPr bwMode="auto">
                    <a:xfrm>
                      <a:off x="0" y="0"/>
                      <a:ext cx="3772760" cy="2677135"/>
                    </a:xfrm>
                    <a:prstGeom prst="rect">
                      <a:avLst/>
                    </a:prstGeom>
                    <a:noFill/>
                    <a:ln w="9525">
                      <a:solidFill>
                        <a:schemeClr val="tx1"/>
                      </a:solidFill>
                      <a:miter lim="800000"/>
                      <a:headEnd/>
                      <a:tailEnd/>
                    </a:ln>
                  </pic:spPr>
                </pic:pic>
              </a:graphicData>
            </a:graphic>
          </wp:inline>
        </w:drawing>
      </w:r>
    </w:p>
    <w:p w:rsidR="00F11A0C" w:rsidRDefault="00523B79" w:rsidP="007C210E">
      <w:pPr>
        <w:pStyle w:val="text"/>
      </w:pPr>
      <w:r>
        <w:t>While the factors exhibit the same shape for both implementations, the signs for the first and fourth eigenvectors are flipped.  This is still acceptable since the factors maintain their orthogonality and is likely a result of the differences in initialization of the two algorithms.</w:t>
      </w:r>
    </w:p>
    <w:p w:rsidR="007C210E" w:rsidRDefault="007C210E" w:rsidP="007C210E">
      <w:pPr>
        <w:pStyle w:val="text"/>
      </w:pPr>
      <w:r>
        <w:t xml:space="preserve">The first principal component never crosses zero and so can be considered to represent the parallel shift in the curve.  The second principal component crosses zero at around the 5 year maturity and can be seen to represent the skew behavior of the curve.  The third principal component crosses zero at the 3 year maturity and again at the 10 year maturity and represents a twisting of the curve. </w:t>
      </w:r>
      <w:r w:rsidR="00C05FD4">
        <w:t xml:space="preserve"> The fourth principal component</w:t>
      </w:r>
      <w:r>
        <w:t xml:space="preserve"> also </w:t>
      </w:r>
      <w:r w:rsidR="00C05FD4">
        <w:t>illustrates a twisting behavior in the curve.</w:t>
      </w:r>
    </w:p>
    <w:p w:rsidR="003C3843" w:rsidRDefault="004B1B73" w:rsidP="004B1B73">
      <w:pPr>
        <w:pStyle w:val="Heading3"/>
      </w:pPr>
      <w:bookmarkStart w:id="5" w:name="_Toc408844286"/>
      <w:r>
        <w:t>Volatility Functions</w:t>
      </w:r>
      <w:bookmarkEnd w:id="5"/>
    </w:p>
    <w:p w:rsidR="00C05FD4" w:rsidRDefault="00AB6AD4" w:rsidP="004D3643">
      <w:pPr>
        <w:pStyle w:val="text"/>
      </w:pPr>
      <w:r>
        <w:t xml:space="preserve">Musiela parameterization of the HJM SDE volatility functions is calculated as follows: </w:t>
      </w:r>
      <m:oMath>
        <m:sSub>
          <m:sSubPr>
            <m:ctrlPr>
              <w:rPr>
                <w:rFonts w:ascii="Cambria Math" w:hAnsiTheme="minorHAnsi"/>
                <w:i/>
              </w:rPr>
            </m:ctrlPr>
          </m:sSubPr>
          <m:e>
            <m:acc>
              <m:accPr>
                <m:chr m:val="̅"/>
                <m:ctrlPr>
                  <w:rPr>
                    <w:rFonts w:ascii="Cambria Math" w:hAnsiTheme="minorHAnsi"/>
                    <w:i/>
                  </w:rPr>
                </m:ctrlPr>
              </m:accPr>
              <m:e>
                <m:r>
                  <w:rPr>
                    <w:rFonts w:ascii="Cambria Math" w:hAnsi="Cambria Math"/>
                  </w:rPr>
                  <m:t>ν</m:t>
                </m:r>
              </m:e>
            </m:acc>
          </m:e>
          <m:sub>
            <m:r>
              <w:rPr>
                <w:rFonts w:ascii="Cambria Math" w:hAnsi="Cambria Math"/>
              </w:rPr>
              <m:t>i</m:t>
            </m:r>
          </m:sub>
        </m:sSub>
        <m:d>
          <m:dPr>
            <m:ctrlPr>
              <w:rPr>
                <w:rFonts w:ascii="Cambria Math" w:hAnsiTheme="minorHAnsi"/>
                <w:i/>
              </w:rPr>
            </m:ctrlPr>
          </m:dPr>
          <m:e>
            <m:r>
              <w:rPr>
                <w:rFonts w:ascii="Cambria Math" w:hAnsiTheme="minorHAnsi"/>
              </w:rPr>
              <m:t>t,</m:t>
            </m:r>
            <m:r>
              <w:rPr>
                <w:rFonts w:ascii="Cambria Math" w:hAnsi="Cambria Math"/>
              </w:rPr>
              <m:t>τ</m:t>
            </m:r>
          </m:e>
        </m:d>
        <m:r>
          <w:rPr>
            <w:rFonts w:ascii="Cambria Math" w:hAnsiTheme="minorHAnsi"/>
          </w:rPr>
          <m:t>=</m:t>
        </m:r>
        <m:rad>
          <m:radPr>
            <m:degHide m:val="on"/>
            <m:ctrlPr>
              <w:rPr>
                <w:rFonts w:ascii="Cambria Math" w:hAnsiTheme="minorHAnsi"/>
                <w:i/>
              </w:rPr>
            </m:ctrlPr>
          </m:radPr>
          <m:deg/>
          <m:e>
            <m:sSub>
              <m:sSubPr>
                <m:ctrlPr>
                  <w:rPr>
                    <w:rFonts w:ascii="Cambria Math" w:hAnsiTheme="minorHAnsi"/>
                    <w:i/>
                  </w:rPr>
                </m:ctrlPr>
              </m:sSubPr>
              <m:e>
                <m:r>
                  <w:rPr>
                    <w:rFonts w:ascii="Cambria Math" w:hAnsi="Cambria Math"/>
                  </w:rPr>
                  <m:t>λ</m:t>
                </m:r>
              </m:e>
              <m:sub>
                <m:r>
                  <w:rPr>
                    <w:rFonts w:ascii="Cambria Math" w:hAnsi="Cambria Math"/>
                  </w:rPr>
                  <m:t>i</m:t>
                </m:r>
              </m:sub>
            </m:sSub>
          </m:e>
        </m:rad>
        <m:sSup>
          <m:sSupPr>
            <m:ctrlPr>
              <w:rPr>
                <w:rFonts w:ascii="Cambria Math" w:hAnsiTheme="minorHAnsi"/>
                <w:i/>
              </w:rPr>
            </m:ctrlPr>
          </m:sSupPr>
          <m:e>
            <m:r>
              <m:rPr>
                <m:nor/>
              </m:rPr>
              <w:rPr>
                <w:rFonts w:ascii="Cambria Math" w:hAnsi="Cambria Math"/>
                <w:b/>
              </w:rPr>
              <m:t>e</m:t>
            </m:r>
          </m:e>
          <m:sup>
            <m:r>
              <w:rPr>
                <w:rFonts w:ascii="Cambria Math" w:hAnsiTheme="minorHAnsi"/>
              </w:rPr>
              <m:t>(</m:t>
            </m:r>
            <m:r>
              <m:rPr>
                <m:nor/>
              </m:rPr>
              <w:rPr>
                <w:rFonts w:ascii="Cambria Math" w:hAnsi="Cambria Math"/>
              </w:rPr>
              <m:t>i</m:t>
            </m:r>
            <m:r>
              <w:rPr>
                <w:rFonts w:ascii="Cambria Math" w:hAnsiTheme="minorHAnsi"/>
              </w:rPr>
              <m:t>)</m:t>
            </m:r>
          </m:sup>
        </m:sSup>
      </m:oMath>
      <w:r w:rsidR="005F40D6">
        <w:t>. After</w:t>
      </w:r>
      <w:r w:rsidR="00E573CA">
        <w:t xml:space="preserve"> transforming the top four principal components into volatility functions, </w:t>
      </w:r>
      <w:r w:rsidR="005F40D6">
        <w:t xml:space="preserve">an attempt was made to fit a polynomial to the fourth volatility </w:t>
      </w:r>
      <w:r w:rsidR="005F40D6">
        <w:lastRenderedPageBreak/>
        <w:t xml:space="preserve">function.  However, due to the majority of the twisting being represented in the short rate part the curve, a good fit of the curve proved difficult.  Since even without the fourth volatility function, the first three </w:t>
      </w:r>
      <w:r w:rsidR="00E573CA">
        <w:t xml:space="preserve">factors </w:t>
      </w:r>
      <w:r w:rsidR="005F40D6">
        <w:t xml:space="preserve">still accounted for 94.2% coverage of the curve moment, it was determined to be acceptable to drop the fourth volatility function.  The first three volatility functions are shown </w:t>
      </w:r>
      <w:r w:rsidR="004D3643">
        <w:t>in the figure below.</w:t>
      </w:r>
    </w:p>
    <w:p w:rsidR="00C05FD4" w:rsidRPr="00C05FD4" w:rsidRDefault="0007723D" w:rsidP="00135B10">
      <w:pPr>
        <w:pStyle w:val="text"/>
        <w:keepNext/>
        <w:jc w:val="center"/>
      </w:pPr>
      <w:r>
        <w:t>Figure 5</w:t>
      </w:r>
      <w:r w:rsidR="00C05FD4" w:rsidRPr="00960BFC">
        <w:t xml:space="preserve">: </w:t>
      </w:r>
      <w:r w:rsidR="00C05FD4">
        <w:t>Volatility Functions</w:t>
      </w:r>
    </w:p>
    <w:p w:rsidR="004D2A55" w:rsidRDefault="004D2A55" w:rsidP="008F3EE7">
      <w:pPr>
        <w:pStyle w:val="text"/>
        <w:jc w:val="center"/>
      </w:pPr>
      <w:r>
        <w:rPr>
          <w:noProof/>
        </w:rPr>
        <w:drawing>
          <wp:inline distT="0" distB="0" distL="0" distR="0">
            <wp:extent cx="3896613" cy="2677135"/>
            <wp:effectExtent l="19050" t="19050" r="27687" b="27965"/>
            <wp:docPr id="3" name="Picture 2" descr="C:\Users\Greg\Google Drive\Education\CQF\June 2014\Final Project\figures\volitility_f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eg\Google Drive\Education\CQF\June 2014\Final Project\figures\volitility_functions.png"/>
                    <pic:cNvPicPr>
                      <a:picLocks noChangeAspect="1" noChangeArrowheads="1"/>
                    </pic:cNvPicPr>
                  </pic:nvPicPr>
                  <pic:blipFill>
                    <a:blip r:embed="rId12" cstate="print"/>
                    <a:srcRect/>
                    <a:stretch>
                      <a:fillRect/>
                    </a:stretch>
                  </pic:blipFill>
                  <pic:spPr bwMode="auto">
                    <a:xfrm>
                      <a:off x="0" y="0"/>
                      <a:ext cx="3896613" cy="2677135"/>
                    </a:xfrm>
                    <a:prstGeom prst="rect">
                      <a:avLst/>
                    </a:prstGeom>
                    <a:noFill/>
                    <a:ln w="9525">
                      <a:solidFill>
                        <a:schemeClr val="tx1"/>
                      </a:solidFill>
                      <a:miter lim="800000"/>
                      <a:headEnd/>
                      <a:tailEnd/>
                    </a:ln>
                  </pic:spPr>
                </pic:pic>
              </a:graphicData>
            </a:graphic>
          </wp:inline>
        </w:drawing>
      </w:r>
    </w:p>
    <w:p w:rsidR="008F3EE7" w:rsidRDefault="00870C10" w:rsidP="00135B10">
      <w:pPr>
        <w:pStyle w:val="text"/>
        <w:jc w:val="left"/>
      </w:pPr>
      <w:r>
        <w:t>The first volatility function was fitted with a zero degree polynomial since it is representative of a parallel shift in the curve.  While there is a noticeable hump at the 3 year tenor it was determined that a linear or even second degree polynomial would not be appropriate since the volatility function does not change sign at any point.</w:t>
      </w:r>
    </w:p>
    <w:p w:rsidR="008F3EE7" w:rsidRPr="00960BFC" w:rsidRDefault="0007723D" w:rsidP="008F3EE7">
      <w:pPr>
        <w:pStyle w:val="Heading8"/>
        <w:keepNext/>
      </w:pPr>
      <w:bookmarkStart w:id="6" w:name="_Toc408743808"/>
      <w:r>
        <w:lastRenderedPageBreak/>
        <w:t>Figure 6</w:t>
      </w:r>
      <w:r w:rsidR="008F3EE7" w:rsidRPr="00960BFC">
        <w:t xml:space="preserve">: </w:t>
      </w:r>
      <w:r w:rsidR="004F1A74">
        <w:t xml:space="preserve">First Volatility Function Actual </w:t>
      </w:r>
      <w:r w:rsidR="007034BC">
        <w:t>vs.</w:t>
      </w:r>
      <w:r w:rsidR="004F1A74">
        <w:t xml:space="preserve"> Fit</w:t>
      </w:r>
      <w:bookmarkEnd w:id="6"/>
    </w:p>
    <w:p w:rsidR="00A1651F" w:rsidRDefault="004D2A55" w:rsidP="008F3EE7">
      <w:pPr>
        <w:pStyle w:val="text"/>
        <w:jc w:val="center"/>
      </w:pPr>
      <w:r>
        <w:rPr>
          <w:noProof/>
        </w:rPr>
        <w:drawing>
          <wp:inline distT="0" distB="0" distL="0" distR="0">
            <wp:extent cx="3896613" cy="2677135"/>
            <wp:effectExtent l="19050" t="19050" r="27687" b="27965"/>
            <wp:docPr id="4" name="Picture 3" descr="C:\Users\Greg\Google Drive\Education\CQF\June 2014\Final Project\figures\volatility_f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eg\Google Drive\Education\CQF\June 2014\Final Project\figures\volatility_fit_1.png"/>
                    <pic:cNvPicPr>
                      <a:picLocks noChangeAspect="1" noChangeArrowheads="1"/>
                    </pic:cNvPicPr>
                  </pic:nvPicPr>
                  <pic:blipFill>
                    <a:blip r:embed="rId13" cstate="print"/>
                    <a:srcRect/>
                    <a:stretch>
                      <a:fillRect/>
                    </a:stretch>
                  </pic:blipFill>
                  <pic:spPr bwMode="auto">
                    <a:xfrm>
                      <a:off x="0" y="0"/>
                      <a:ext cx="3896613" cy="2677135"/>
                    </a:xfrm>
                    <a:prstGeom prst="rect">
                      <a:avLst/>
                    </a:prstGeom>
                    <a:noFill/>
                    <a:ln w="9525">
                      <a:solidFill>
                        <a:schemeClr val="tx1"/>
                      </a:solidFill>
                      <a:miter lim="800000"/>
                      <a:headEnd/>
                      <a:tailEnd/>
                    </a:ln>
                  </pic:spPr>
                </pic:pic>
              </a:graphicData>
            </a:graphic>
          </wp:inline>
        </w:drawing>
      </w:r>
    </w:p>
    <w:p w:rsidR="00445640" w:rsidRDefault="00445640" w:rsidP="000153BF">
      <w:pPr>
        <w:pStyle w:val="text"/>
        <w:jc w:val="left"/>
      </w:pPr>
      <w:r>
        <w:t>The second volatility function was fit with a two degree polynomial.  While a third degree polynomial did provide a better fit, limiting the fit to a second degree polynomial was deemed sufficient since the volatility function only changed sign once and the fit was still able to account for the skew in the curve between the short and long term sections of the curve.</w:t>
      </w:r>
      <w:bookmarkStart w:id="7" w:name="_Toc408743809"/>
    </w:p>
    <w:p w:rsidR="008F3EE7" w:rsidRPr="00960BFC" w:rsidRDefault="008F3EE7" w:rsidP="008F3EE7">
      <w:pPr>
        <w:pStyle w:val="Heading8"/>
        <w:keepNext/>
      </w:pPr>
      <w:r w:rsidRPr="00960BFC">
        <w:t xml:space="preserve">Figure </w:t>
      </w:r>
      <w:r w:rsidR="0007723D">
        <w:t>7</w:t>
      </w:r>
      <w:r w:rsidRPr="00960BFC">
        <w:t xml:space="preserve">: </w:t>
      </w:r>
      <w:r w:rsidR="004F1A74">
        <w:t xml:space="preserve">Second Volatility Function Actual </w:t>
      </w:r>
      <w:r w:rsidR="007034BC">
        <w:t>vs.</w:t>
      </w:r>
      <w:r w:rsidR="004F1A74">
        <w:t xml:space="preserve"> Fit</w:t>
      </w:r>
      <w:bookmarkEnd w:id="7"/>
    </w:p>
    <w:p w:rsidR="004D2A55" w:rsidRDefault="004D2A55" w:rsidP="008F3EE7">
      <w:pPr>
        <w:pStyle w:val="text"/>
        <w:jc w:val="center"/>
      </w:pPr>
      <w:r>
        <w:rPr>
          <w:noProof/>
        </w:rPr>
        <w:drawing>
          <wp:inline distT="0" distB="0" distL="0" distR="0">
            <wp:extent cx="3896613" cy="2677135"/>
            <wp:effectExtent l="19050" t="19050" r="27687" b="27965"/>
            <wp:docPr id="5" name="Picture 4" descr="C:\Users\Greg\Google Drive\Education\CQF\June 2014\Final Project\figures\volatility_fi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reg\Google Drive\Education\CQF\June 2014\Final Project\figures\volatility_fit_2.png"/>
                    <pic:cNvPicPr>
                      <a:picLocks noChangeAspect="1" noChangeArrowheads="1"/>
                    </pic:cNvPicPr>
                  </pic:nvPicPr>
                  <pic:blipFill>
                    <a:blip r:embed="rId14" cstate="print"/>
                    <a:srcRect/>
                    <a:stretch>
                      <a:fillRect/>
                    </a:stretch>
                  </pic:blipFill>
                  <pic:spPr bwMode="auto">
                    <a:xfrm>
                      <a:off x="0" y="0"/>
                      <a:ext cx="3896613" cy="2677135"/>
                    </a:xfrm>
                    <a:prstGeom prst="rect">
                      <a:avLst/>
                    </a:prstGeom>
                    <a:noFill/>
                    <a:ln w="9525">
                      <a:solidFill>
                        <a:schemeClr val="tx1"/>
                      </a:solidFill>
                      <a:miter lim="800000"/>
                      <a:headEnd/>
                      <a:tailEnd/>
                    </a:ln>
                  </pic:spPr>
                </pic:pic>
              </a:graphicData>
            </a:graphic>
          </wp:inline>
        </w:drawing>
      </w:r>
    </w:p>
    <w:p w:rsidR="008F3EE7" w:rsidRDefault="000153BF" w:rsidP="000153BF">
      <w:pPr>
        <w:pStyle w:val="text"/>
        <w:jc w:val="left"/>
      </w:pPr>
      <w:r>
        <w:lastRenderedPageBreak/>
        <w:t>The third volatility function was fit with a third degree polynomial.</w:t>
      </w:r>
    </w:p>
    <w:p w:rsidR="008F3EE7" w:rsidRPr="00960BFC" w:rsidRDefault="0007723D" w:rsidP="008F3EE7">
      <w:pPr>
        <w:pStyle w:val="Heading8"/>
        <w:keepNext/>
      </w:pPr>
      <w:bookmarkStart w:id="8" w:name="_Toc408743810"/>
      <w:r>
        <w:t>Figure 8</w:t>
      </w:r>
      <w:r w:rsidR="008F3EE7" w:rsidRPr="00960BFC">
        <w:t xml:space="preserve">: </w:t>
      </w:r>
      <w:r w:rsidR="004F1A74">
        <w:t xml:space="preserve">Third Volatility Function Actual </w:t>
      </w:r>
      <w:r w:rsidR="007034BC">
        <w:t>vs.</w:t>
      </w:r>
      <w:r w:rsidR="004F1A74">
        <w:t xml:space="preserve"> Fit</w:t>
      </w:r>
      <w:bookmarkEnd w:id="8"/>
    </w:p>
    <w:p w:rsidR="00A1651F" w:rsidRDefault="004D2A55" w:rsidP="008F3EE7">
      <w:pPr>
        <w:pStyle w:val="text"/>
        <w:jc w:val="center"/>
      </w:pPr>
      <w:r>
        <w:rPr>
          <w:noProof/>
        </w:rPr>
        <w:drawing>
          <wp:inline distT="0" distB="0" distL="0" distR="0">
            <wp:extent cx="3953776" cy="2677135"/>
            <wp:effectExtent l="19050" t="19050" r="27674" b="27965"/>
            <wp:docPr id="6" name="Picture 5" descr="C:\Users\Greg\Google Drive\Education\CQF\June 2014\Final Project\figures\volatility_fi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reg\Google Drive\Education\CQF\June 2014\Final Project\figures\volatility_fit_3.png"/>
                    <pic:cNvPicPr>
                      <a:picLocks noChangeAspect="1" noChangeArrowheads="1"/>
                    </pic:cNvPicPr>
                  </pic:nvPicPr>
                  <pic:blipFill>
                    <a:blip r:embed="rId15" cstate="print"/>
                    <a:srcRect/>
                    <a:stretch>
                      <a:fillRect/>
                    </a:stretch>
                  </pic:blipFill>
                  <pic:spPr bwMode="auto">
                    <a:xfrm>
                      <a:off x="0" y="0"/>
                      <a:ext cx="3953776" cy="2677135"/>
                    </a:xfrm>
                    <a:prstGeom prst="rect">
                      <a:avLst/>
                    </a:prstGeom>
                    <a:noFill/>
                    <a:ln w="9525">
                      <a:solidFill>
                        <a:schemeClr val="tx1"/>
                      </a:solidFill>
                      <a:miter lim="800000"/>
                      <a:headEnd/>
                      <a:tailEnd/>
                    </a:ln>
                  </pic:spPr>
                </pic:pic>
              </a:graphicData>
            </a:graphic>
          </wp:inline>
        </w:drawing>
      </w:r>
    </w:p>
    <w:p w:rsidR="004B1B73" w:rsidRDefault="004B1B73" w:rsidP="004B1B73">
      <w:pPr>
        <w:pStyle w:val="Heading3"/>
      </w:pPr>
      <w:bookmarkStart w:id="9" w:name="_Toc408844287"/>
      <w:r>
        <w:t>Drift Fun</w:t>
      </w:r>
      <w:r w:rsidR="00672A2A">
        <w:t>c</w:t>
      </w:r>
      <w:r>
        <w:t>tion</w:t>
      </w:r>
      <w:bookmarkEnd w:id="9"/>
    </w:p>
    <w:p w:rsidR="004A1C8F" w:rsidRDefault="004A1C8F" w:rsidP="004A1C8F">
      <w:pPr>
        <w:pStyle w:val="text"/>
      </w:pPr>
      <w:r>
        <w:t xml:space="preserve">One of the important results of HJM model is that the risk-neutral drift must </w:t>
      </w:r>
      <w:r w:rsidR="007034BC">
        <w:t>satisfy</w:t>
      </w:r>
      <w:r>
        <w:t xml:space="preserve"> the no-arbitrage restriction:</w:t>
      </w:r>
    </w:p>
    <w:p w:rsidR="004A1C8F" w:rsidRDefault="004A1C8F" w:rsidP="004A1C8F">
      <w:pPr>
        <w:pStyle w:val="text"/>
      </w:pPr>
      <m:oMathPara>
        <m:oMath>
          <m:r>
            <w:rPr>
              <w:rFonts w:ascii="Cambria Math" w:hAnsi="Cambria Math"/>
            </w:rPr>
            <m:t>m</m:t>
          </m:r>
          <m:d>
            <m:dPr>
              <m:ctrlPr>
                <w:rPr>
                  <w:rFonts w:ascii="Cambria Math" w:hAnsi="Cambria Math"/>
                  <w:i/>
                </w:rPr>
              </m:ctrlPr>
            </m:dPr>
            <m:e>
              <m:r>
                <w:rPr>
                  <w:rFonts w:ascii="Cambria Math" w:hAnsi="Cambria Math"/>
                </w:rPr>
                <m:t>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(t,T)</m:t>
              </m:r>
            </m:e>
          </m:nary>
          <m:nary>
            <m:naryPr>
              <m:limLoc m:val="subSup"/>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ν</m:t>
                  </m:r>
                </m:e>
                <m:sub>
                  <m:r>
                    <w:rPr>
                      <w:rFonts w:ascii="Cambria Math" w:hAnsi="Cambria Math"/>
                    </w:rPr>
                    <m:t>i</m:t>
                  </m:r>
                </m:sub>
              </m:sSub>
              <m:d>
                <m:dPr>
                  <m:ctrlPr>
                    <w:rPr>
                      <w:rFonts w:ascii="Cambria Math" w:hAnsi="Cambria Math"/>
                      <w:i/>
                    </w:rPr>
                  </m:ctrlPr>
                </m:dPr>
                <m:e>
                  <m:r>
                    <w:rPr>
                      <w:rFonts w:ascii="Cambria Math" w:hAnsi="Cambria Math"/>
                    </w:rPr>
                    <m:t>t,s</m:t>
                  </m:r>
                </m:e>
              </m:d>
              <m:r>
                <w:rPr>
                  <w:rFonts w:ascii="Cambria Math" w:hAnsi="Cambria Math"/>
                </w:rPr>
                <m:t>ds</m:t>
              </m:r>
            </m:e>
          </m:nary>
        </m:oMath>
      </m:oMathPara>
    </w:p>
    <w:p w:rsidR="004A1C8F" w:rsidRDefault="004A1C8F" w:rsidP="004A1C8F">
      <w:pPr>
        <w:pStyle w:val="text"/>
      </w:pPr>
      <w:r>
        <w:t xml:space="preserve">Under </w:t>
      </w:r>
      <w:r w:rsidR="00A4540C">
        <w:t xml:space="preserve">Musiela </w:t>
      </w:r>
      <w:r w:rsidR="007034BC">
        <w:t>parameterization</w:t>
      </w:r>
      <w:r w:rsidR="00A4540C">
        <w:t xml:space="preserve"> </w:t>
      </w:r>
      <m:oMath>
        <m:acc>
          <m:accPr>
            <m:chr m:val="̅"/>
            <m:ctrlPr>
              <w:rPr>
                <w:rFonts w:ascii="Cambria Math" w:hAnsi="Cambria Math"/>
                <w:i/>
              </w:rPr>
            </m:ctrlPr>
          </m:accPr>
          <m:e>
            <m:r>
              <w:rPr>
                <w:rFonts w:ascii="Cambria Math" w:hAnsi="Cambria Math"/>
              </w:rPr>
              <m:t>ν</m:t>
            </m:r>
          </m:e>
        </m:acc>
        <m:d>
          <m:dPr>
            <m:ctrlPr>
              <w:rPr>
                <w:rFonts w:ascii="Cambria Math" w:hAnsi="Cambria Math"/>
                <w:i/>
              </w:rPr>
            </m:ctrlPr>
          </m:dPr>
          <m:e>
            <m:r>
              <w:rPr>
                <w:rFonts w:ascii="Cambria Math" w:hAnsi="Cambria Math"/>
              </w:rPr>
              <m:t>t,τ</m:t>
            </m:r>
          </m:e>
        </m:d>
        <m:r>
          <w:rPr>
            <w:rFonts w:ascii="Cambria Math" w:hAnsi="Cambria Math"/>
          </w:rPr>
          <m:t>=ν</m:t>
        </m:r>
        <m:d>
          <m:dPr>
            <m:ctrlPr>
              <w:rPr>
                <w:rFonts w:ascii="Cambria Math" w:hAnsi="Cambria Math"/>
                <w:i/>
              </w:rPr>
            </m:ctrlPr>
          </m:dPr>
          <m:e>
            <m:r>
              <w:rPr>
                <w:rFonts w:ascii="Cambria Math" w:hAnsi="Cambria Math"/>
              </w:rPr>
              <m:t>t,T</m:t>
            </m:r>
          </m:e>
        </m:d>
      </m:oMath>
      <w:r w:rsidR="00A4540C">
        <w:t xml:space="preserve"> so that:</w:t>
      </w:r>
    </w:p>
    <w:p w:rsidR="00A4540C" w:rsidRDefault="00A4540C" w:rsidP="00A4540C">
      <w:pPr>
        <w:pStyle w:val="text"/>
      </w:pPr>
      <m:oMathPara>
        <m:oMath>
          <m:acc>
            <m:accPr>
              <m:chr m:val="̅"/>
              <m:ctrlPr>
                <w:rPr>
                  <w:rFonts w:ascii="Cambria Math" w:hAnsi="Cambria Math"/>
                  <w:i/>
                </w:rPr>
              </m:ctrlPr>
            </m:accPr>
            <m:e>
              <m:r>
                <w:rPr>
                  <w:rFonts w:ascii="Cambria Math" w:hAnsi="Cambria Math"/>
                </w:rPr>
                <m:t>m</m:t>
              </m:r>
            </m:e>
          </m:acc>
          <m:d>
            <m:dPr>
              <m:ctrlPr>
                <w:rPr>
                  <w:rFonts w:ascii="Cambria Math" w:hAnsi="Cambria Math"/>
                  <w:i/>
                </w:rPr>
              </m:ctrlPr>
            </m:dPr>
            <m:e>
              <m:r>
                <w:rPr>
                  <w:rFonts w:ascii="Cambria Math" w:hAnsi="Cambria Math"/>
                </w:rPr>
                <m:t>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ν</m:t>
                      </m:r>
                    </m:e>
                  </m:acc>
                </m:e>
                <m:sub>
                  <m:r>
                    <w:rPr>
                      <w:rFonts w:ascii="Cambria Math" w:hAnsi="Cambria Math"/>
                    </w:rPr>
                    <m:t>i</m:t>
                  </m:r>
                </m:sub>
              </m:sSub>
              <m:r>
                <w:rPr>
                  <w:rFonts w:ascii="Cambria Math" w:hAnsi="Cambria Math"/>
                </w:rPr>
                <m:t>(t,</m:t>
              </m:r>
              <m:r>
                <w:rPr>
                  <w:rFonts w:ascii="Cambria Math" w:hAnsi="Cambria Math"/>
                </w:rPr>
                <m:t>τ</m:t>
              </m:r>
              <m:r>
                <w:rPr>
                  <w:rFonts w:ascii="Cambria Math" w:hAnsi="Cambria Math"/>
                </w:rPr>
                <m:t>)</m:t>
              </m:r>
            </m:e>
          </m:nary>
          <m:nary>
            <m:naryPr>
              <m:limLoc m:val="subSup"/>
              <m:ctrlPr>
                <w:rPr>
                  <w:rFonts w:ascii="Cambria Math" w:hAnsi="Cambria Math"/>
                  <w:i/>
                </w:rPr>
              </m:ctrlPr>
            </m:naryPr>
            <m:sub>
              <m:r>
                <w:rPr>
                  <w:rFonts w:ascii="Cambria Math" w:hAnsi="Cambria Math"/>
                </w:rPr>
                <m:t>0</m:t>
              </m:r>
            </m:sub>
            <m:sup>
              <m:r>
                <w:rPr>
                  <w:rFonts w:ascii="Cambria Math" w:hAnsi="Cambria Math"/>
                </w:rPr>
                <m:t>τ</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ν</m:t>
                      </m:r>
                    </m:e>
                  </m:acc>
                </m:e>
                <m:sub>
                  <m:r>
                    <w:rPr>
                      <w:rFonts w:ascii="Cambria Math" w:hAnsi="Cambria Math"/>
                    </w:rPr>
                    <m:t>i</m:t>
                  </m:r>
                </m:sub>
              </m:sSub>
              <m:d>
                <m:dPr>
                  <m:ctrlPr>
                    <w:rPr>
                      <w:rFonts w:ascii="Cambria Math" w:hAnsi="Cambria Math"/>
                      <w:i/>
                    </w:rPr>
                  </m:ctrlPr>
                </m:dPr>
                <m:e>
                  <m:r>
                    <w:rPr>
                      <w:rFonts w:ascii="Cambria Math" w:hAnsi="Cambria Math"/>
                    </w:rPr>
                    <m:t>t,s</m:t>
                  </m:r>
                </m:e>
              </m:d>
              <m:r>
                <w:rPr>
                  <w:rFonts w:ascii="Cambria Math" w:hAnsi="Cambria Math"/>
                </w:rPr>
                <m:t>ds</m:t>
              </m:r>
            </m:e>
          </m:nary>
        </m:oMath>
      </m:oMathPara>
    </w:p>
    <w:p w:rsidR="00A4540C" w:rsidRPr="004A1C8F" w:rsidRDefault="00117BC4" w:rsidP="004A1C8F">
      <w:pPr>
        <w:pStyle w:val="text"/>
      </w:pPr>
      <w:r>
        <w:t xml:space="preserve">To calculate the drift function we use numerical integration over the fitted volatility functions.  The trapezium rule was used for integration purposes and a value of </w:t>
      </w:r>
      <m:oMath>
        <m:r>
          <w:rPr>
            <w:rFonts w:ascii="Cambria Math" w:hAnsi="Cambria Math"/>
          </w:rPr>
          <m:t>dτ=0.01</m:t>
        </m:r>
      </m:oMath>
      <w:r>
        <w:t xml:space="preserve"> was deemed to be sufficient for the purposes of estimating the drift function.  The table below shows the monotonicity of the drift function which is an important </w:t>
      </w:r>
      <w:r w:rsidR="0024582E">
        <w:t>characteristic of the result</w:t>
      </w:r>
      <w:r w:rsidR="00377423">
        <w:t>.</w:t>
      </w:r>
    </w:p>
    <w:p w:rsidR="008F3EE7" w:rsidRPr="00960BFC" w:rsidRDefault="0007723D" w:rsidP="001148A8">
      <w:pPr>
        <w:pStyle w:val="Heading8"/>
        <w:keepNext/>
      </w:pPr>
      <w:bookmarkStart w:id="10" w:name="_Toc408743811"/>
      <w:r>
        <w:lastRenderedPageBreak/>
        <w:t>Figure 9</w:t>
      </w:r>
      <w:r w:rsidR="008F3EE7" w:rsidRPr="00960BFC">
        <w:t xml:space="preserve">: </w:t>
      </w:r>
      <w:r w:rsidR="001C13A7">
        <w:t>Drift Function</w:t>
      </w:r>
      <w:bookmarkEnd w:id="10"/>
    </w:p>
    <w:p w:rsidR="005072AE" w:rsidRDefault="00F42869" w:rsidP="00E94945">
      <w:pPr>
        <w:pStyle w:val="text"/>
        <w:jc w:val="center"/>
      </w:pPr>
      <w:r>
        <w:rPr>
          <w:noProof/>
        </w:rPr>
        <w:drawing>
          <wp:inline distT="0" distB="0" distL="0" distR="0">
            <wp:extent cx="3944249" cy="2677135"/>
            <wp:effectExtent l="19050" t="19050" r="18151" b="27965"/>
            <wp:docPr id="18" name="Picture 16" descr="C:\Users\Greg\Google Drive\Education\CQF\June 2014\Final Project\figures\drift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reg\Google Drive\Education\CQF\June 2014\Final Project\figures\drift_function.png"/>
                    <pic:cNvPicPr>
                      <a:picLocks noChangeAspect="1" noChangeArrowheads="1"/>
                    </pic:cNvPicPr>
                  </pic:nvPicPr>
                  <pic:blipFill>
                    <a:blip r:embed="rId16" cstate="print"/>
                    <a:srcRect/>
                    <a:stretch>
                      <a:fillRect/>
                    </a:stretch>
                  </pic:blipFill>
                  <pic:spPr bwMode="auto">
                    <a:xfrm>
                      <a:off x="0" y="0"/>
                      <a:ext cx="3944249" cy="2677135"/>
                    </a:xfrm>
                    <a:prstGeom prst="rect">
                      <a:avLst/>
                    </a:prstGeom>
                    <a:noFill/>
                    <a:ln w="9525">
                      <a:solidFill>
                        <a:schemeClr val="tx1"/>
                      </a:solidFill>
                      <a:miter lim="800000"/>
                      <a:headEnd/>
                      <a:tailEnd/>
                    </a:ln>
                  </pic:spPr>
                </pic:pic>
              </a:graphicData>
            </a:graphic>
          </wp:inline>
        </w:drawing>
      </w:r>
    </w:p>
    <w:p w:rsidR="000618E3" w:rsidRPr="00EC4DA3" w:rsidRDefault="001800C2" w:rsidP="00EC4DA3">
      <w:pPr>
        <w:pStyle w:val="Heading1"/>
      </w:pPr>
      <w:bookmarkStart w:id="11" w:name="_Toc408844288"/>
      <w:r>
        <w:t>Random Number G</w:t>
      </w:r>
      <w:r w:rsidR="000618E3" w:rsidRPr="00EC4DA3">
        <w:t>eneration</w:t>
      </w:r>
      <w:bookmarkEnd w:id="11"/>
    </w:p>
    <w:p w:rsidR="00E94945" w:rsidRDefault="00E94945" w:rsidP="00E94945">
      <w:pPr>
        <w:pStyle w:val="text"/>
      </w:pPr>
      <w:r>
        <w:t xml:space="preserve">Two separate random number generators were used in the implementation of the </w:t>
      </w:r>
      <w:r w:rsidR="007034BC">
        <w:t>Monte</w:t>
      </w:r>
      <w:r>
        <w:t xml:space="preserve"> </w:t>
      </w:r>
      <w:r w:rsidR="007034BC">
        <w:t>Carlo</w:t>
      </w:r>
      <w:r>
        <w:t xml:space="preserve"> simulations: a </w:t>
      </w:r>
      <w:r w:rsidR="007034BC">
        <w:t>pseudo</w:t>
      </w:r>
      <w:r w:rsidR="006715C1">
        <w:t>-random</w:t>
      </w:r>
      <w:r>
        <w:t xml:space="preserve"> NumPy implementation</w:t>
      </w:r>
      <w:r w:rsidR="006D5117">
        <w:rPr>
          <w:rStyle w:val="FootnoteReference"/>
        </w:rPr>
        <w:footnoteReference w:id="5"/>
      </w:r>
      <w:r w:rsidR="006715C1">
        <w:t xml:space="preserve"> of the Mersenne Twister</w:t>
      </w:r>
      <w:r w:rsidR="006D5117">
        <w:t xml:space="preserve"> and a</w:t>
      </w:r>
      <w:r w:rsidR="006715C1">
        <w:t xml:space="preserve"> low-discrepancy </w:t>
      </w:r>
      <w:r w:rsidR="006D5117">
        <w:t>Sobol implementation</w:t>
      </w:r>
      <w:r w:rsidR="006715C1">
        <w:rPr>
          <w:rStyle w:val="FootnoteReference"/>
        </w:rPr>
        <w:footnoteReference w:id="6"/>
      </w:r>
      <w:r w:rsidR="006715C1">
        <w:t xml:space="preserve"> </w:t>
      </w:r>
      <w:r w:rsidR="00F37A10">
        <w:t>c</w:t>
      </w:r>
      <w:r w:rsidR="006715C1">
        <w:t xml:space="preserve">ourtesy of John Burkart of </w:t>
      </w:r>
      <w:r w:rsidR="007034BC">
        <w:t>Florida</w:t>
      </w:r>
      <w:r w:rsidR="006715C1">
        <w:t xml:space="preserve"> State University</w:t>
      </w:r>
      <w:r w:rsidR="00C313D3">
        <w:t>.  Throughout the remainder of the paper these two implementations will be referred to as Numpy and Sobol respectively.</w:t>
      </w:r>
    </w:p>
    <w:p w:rsidR="00C313D3" w:rsidRDefault="00C313D3" w:rsidP="00E94945">
      <w:pPr>
        <w:pStyle w:val="text"/>
      </w:pPr>
      <w:r>
        <w:t xml:space="preserve">Both methodologies generated random numbers uniformly distributed between zero and one.  </w:t>
      </w:r>
      <w:r w:rsidR="007034BC">
        <w:t>A well-known method of generating normally distributed random numbers is to convert</w:t>
      </w:r>
      <w:r w:rsidR="009D4EE4">
        <w:t xml:space="preserve"> 12 independently distributed uniform random numbers into a single normally distributed </w:t>
      </w:r>
      <w:r w:rsidR="007034BC">
        <w:t>random number as follows</w:t>
      </w:r>
      <w:r w:rsidR="009D4EE4">
        <w:t xml:space="preserve">: </w:t>
      </w:r>
      <m:oMath>
        <m: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-6</m:t>
            </m:r>
          </m:e>
        </m:nary>
      </m:oMath>
      <w:r w:rsidR="008505B0">
        <w:t>.</w:t>
      </w:r>
      <w:r w:rsidR="00F37A10">
        <w:t xml:space="preserve">  For Sobol, special consideration had to be </w:t>
      </w:r>
      <w:r w:rsidR="00825A8A">
        <w:t>given</w:t>
      </w:r>
      <w:r w:rsidR="00F37A10">
        <w:t xml:space="preserve"> to deal with dimensionality.  The algorithm allows for the </w:t>
      </w:r>
      <w:r w:rsidR="00F37A10">
        <w:lastRenderedPageBreak/>
        <w:t>setting the dimension (in this case 12) so that the observations can be considered “independent” for the purposes of generating a normally distributed random number.</w:t>
      </w:r>
    </w:p>
    <w:p w:rsidR="008505B0" w:rsidRPr="00E94945" w:rsidRDefault="008505B0" w:rsidP="00E94945">
      <w:pPr>
        <w:pStyle w:val="text"/>
      </w:pPr>
      <w:r>
        <w:t>An experiment was performed where the average mean and standard deviation for both implementations was taken from 100 iterations of a 1</w:t>
      </w:r>
      <w:r w:rsidR="00825A8A">
        <w:t xml:space="preserve">,000 sample dataset.  The </w:t>
      </w:r>
      <w:r>
        <w:t>Sobol implementation was</w:t>
      </w:r>
      <w:r w:rsidR="00B76359">
        <w:t xml:space="preserve"> more representative of a normal distribution with an average mean and standard deviation closer to 0 and 1 respectively.  </w:t>
      </w:r>
    </w:p>
    <w:p w:rsidR="000618E3" w:rsidRPr="00960BFC" w:rsidRDefault="0007723D" w:rsidP="000618E3">
      <w:pPr>
        <w:pStyle w:val="Heading8"/>
        <w:keepNext/>
      </w:pPr>
      <w:bookmarkStart w:id="12" w:name="_Toc408743816"/>
      <w:r>
        <w:t>Figure 10</w:t>
      </w:r>
      <w:r w:rsidR="000618E3" w:rsidRPr="00960BFC">
        <w:t xml:space="preserve">: </w:t>
      </w:r>
      <w:r w:rsidR="000618E3">
        <w:t>Numpy</w:t>
      </w:r>
      <w:r w:rsidR="000618E3" w:rsidRPr="00960BFC">
        <w:t xml:space="preserve"> </w:t>
      </w:r>
      <w:r w:rsidR="000618E3">
        <w:t>Average Mean and Std Dev</w:t>
      </w:r>
      <w:bookmarkEnd w:id="12"/>
    </w:p>
    <w:p w:rsidR="000618E3" w:rsidRDefault="008D57BB" w:rsidP="000618E3">
      <w:pPr>
        <w:pStyle w:val="text"/>
        <w:jc w:val="center"/>
      </w:pPr>
      <w:r>
        <w:rPr>
          <w:noProof/>
        </w:rPr>
        <w:drawing>
          <wp:inline distT="0" distB="0" distL="0" distR="0">
            <wp:extent cx="3525053" cy="2677135"/>
            <wp:effectExtent l="19050" t="19050" r="18247" b="27965"/>
            <wp:docPr id="35" name="Picture 2" descr="C:\Users\Greg\Google Drive\Education\CQF\June 2014\Final Project\figures\norm_dist_fit_num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eg\Google Drive\Education\CQF\June 2014\Final Project\figures\norm_dist_fit_numpy.png"/>
                    <pic:cNvPicPr>
                      <a:picLocks noChangeAspect="1" noChangeArrowheads="1"/>
                    </pic:cNvPicPr>
                  </pic:nvPicPr>
                  <pic:blipFill>
                    <a:blip r:embed="rId17" cstate="print"/>
                    <a:srcRect/>
                    <a:stretch>
                      <a:fillRect/>
                    </a:stretch>
                  </pic:blipFill>
                  <pic:spPr bwMode="auto">
                    <a:xfrm>
                      <a:off x="0" y="0"/>
                      <a:ext cx="3525053" cy="2677135"/>
                    </a:xfrm>
                    <a:prstGeom prst="rect">
                      <a:avLst/>
                    </a:prstGeom>
                    <a:noFill/>
                    <a:ln w="9525">
                      <a:solidFill>
                        <a:schemeClr val="tx1"/>
                      </a:solidFill>
                      <a:miter lim="800000"/>
                      <a:headEnd/>
                      <a:tailEnd/>
                    </a:ln>
                  </pic:spPr>
                </pic:pic>
              </a:graphicData>
            </a:graphic>
          </wp:inline>
        </w:drawing>
      </w:r>
    </w:p>
    <w:p w:rsidR="000618E3" w:rsidRPr="00960BFC" w:rsidRDefault="0007723D" w:rsidP="000618E3">
      <w:pPr>
        <w:pStyle w:val="Heading8"/>
        <w:keepNext/>
      </w:pPr>
      <w:bookmarkStart w:id="13" w:name="_Toc408743817"/>
      <w:r>
        <w:lastRenderedPageBreak/>
        <w:t>Figure 11</w:t>
      </w:r>
      <w:r w:rsidR="000618E3" w:rsidRPr="00960BFC">
        <w:t xml:space="preserve">: </w:t>
      </w:r>
      <w:r w:rsidR="000618E3">
        <w:t>Sobol</w:t>
      </w:r>
      <w:r w:rsidR="000618E3" w:rsidRPr="00960BFC">
        <w:t xml:space="preserve"> </w:t>
      </w:r>
      <w:r w:rsidR="000618E3">
        <w:t>Average Mean and Std Dev</w:t>
      </w:r>
      <w:bookmarkEnd w:id="13"/>
    </w:p>
    <w:p w:rsidR="000618E3" w:rsidRDefault="008D57BB" w:rsidP="000618E3">
      <w:pPr>
        <w:pStyle w:val="text"/>
        <w:jc w:val="center"/>
      </w:pPr>
      <w:r>
        <w:rPr>
          <w:noProof/>
        </w:rPr>
        <w:drawing>
          <wp:inline distT="0" distB="0" distL="0" distR="0">
            <wp:extent cx="3582216" cy="2677135"/>
            <wp:effectExtent l="19050" t="19050" r="18234" b="27965"/>
            <wp:docPr id="38" name="Picture 3" descr="C:\Users\Greg\Google Drive\Education\CQF\June 2014\Final Project\figures\norm_dist_fit_so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eg\Google Drive\Education\CQF\June 2014\Final Project\figures\norm_dist_fit_sobol.png"/>
                    <pic:cNvPicPr>
                      <a:picLocks noChangeAspect="1" noChangeArrowheads="1"/>
                    </pic:cNvPicPr>
                  </pic:nvPicPr>
                  <pic:blipFill>
                    <a:blip r:embed="rId18" cstate="print"/>
                    <a:srcRect/>
                    <a:stretch>
                      <a:fillRect/>
                    </a:stretch>
                  </pic:blipFill>
                  <pic:spPr bwMode="auto">
                    <a:xfrm>
                      <a:off x="0" y="0"/>
                      <a:ext cx="3582216" cy="2677135"/>
                    </a:xfrm>
                    <a:prstGeom prst="rect">
                      <a:avLst/>
                    </a:prstGeom>
                    <a:noFill/>
                    <a:ln w="9525">
                      <a:solidFill>
                        <a:schemeClr val="tx1"/>
                      </a:solidFill>
                      <a:miter lim="800000"/>
                      <a:headEnd/>
                      <a:tailEnd/>
                    </a:ln>
                  </pic:spPr>
                </pic:pic>
              </a:graphicData>
            </a:graphic>
          </wp:inline>
        </w:drawing>
      </w:r>
    </w:p>
    <w:p w:rsidR="00B76359" w:rsidRDefault="00B1519B" w:rsidP="000618E3">
      <w:pPr>
        <w:pStyle w:val="text"/>
      </w:pPr>
      <w:r>
        <w:t xml:space="preserve">Although Sobol was more accurate, </w:t>
      </w:r>
      <w:r w:rsidR="00B76359">
        <w:t xml:space="preserve">the average processing time to generate the 1,000 </w:t>
      </w:r>
      <w:r>
        <w:t xml:space="preserve">number </w:t>
      </w:r>
      <w:r w:rsidR="00B76359">
        <w:t>sample was significantly longer at 0.06 seconds compared to a nearly instantaneous return for Numpy.  While it is expected that Sobol should have a faster run time since it is a low-discrepancy sequence and Numpy is pseudo-random, the fact</w:t>
      </w:r>
      <w:r w:rsidR="00825A8A">
        <w:t xml:space="preserve"> that Numpy was implemented in</w:t>
      </w:r>
      <w:r w:rsidR="00B76359">
        <w:t xml:space="preserve"> lower level</w:t>
      </w:r>
      <w:r w:rsidR="00825A8A">
        <w:t xml:space="preserve"> C</w:t>
      </w:r>
      <w:r w:rsidR="00B76359">
        <w:t xml:space="preserve"> language more than offset this supposed loss in efficiency.</w:t>
      </w:r>
    </w:p>
    <w:p w:rsidR="008505B0" w:rsidRPr="000618E3" w:rsidRDefault="00B76359" w:rsidP="00B76359">
      <w:pPr>
        <w:pStyle w:val="text"/>
      </w:pPr>
      <w:r>
        <w:t xml:space="preserve">It is also worth noting that the Sobol implementation takes </w:t>
      </w:r>
      <w:r w:rsidR="007034BC">
        <w:t>significantly</w:t>
      </w:r>
      <w:r>
        <w:t xml:space="preserve"> longer to run when the seed is not incremental from one execution to the next.  The algorithm stores the global seed value after each execution, if the seed is not “next in line” then the algorithm needs to “reset”.  In the implementation of the </w:t>
      </w:r>
      <w:r w:rsidR="007034BC">
        <w:t>Monte</w:t>
      </w:r>
      <w:r>
        <w:t xml:space="preserve"> </w:t>
      </w:r>
      <w:r w:rsidR="007034BC">
        <w:t>Carlo</w:t>
      </w:r>
      <w:r w:rsidR="00B1519B">
        <w:t xml:space="preserve"> that follows,</w:t>
      </w:r>
      <w:r>
        <w:t xml:space="preserve"> the seed is tracked and incremented accordingly</w:t>
      </w:r>
      <w:r w:rsidR="0095722D">
        <w:t xml:space="preserve"> to allow for faster computation</w:t>
      </w:r>
      <w:r>
        <w:t>.</w:t>
      </w:r>
    </w:p>
    <w:p w:rsidR="00426A68" w:rsidRDefault="00426A68" w:rsidP="00EC4DA3">
      <w:pPr>
        <w:pStyle w:val="Heading1"/>
      </w:pPr>
      <w:bookmarkStart w:id="14" w:name="_Toc408844289"/>
      <w:r>
        <w:t>Forward Rate Construction</w:t>
      </w:r>
      <w:bookmarkEnd w:id="14"/>
    </w:p>
    <w:p w:rsidR="00D71090" w:rsidRDefault="008F74A0" w:rsidP="00034B84">
      <w:pPr>
        <w:pStyle w:val="text"/>
      </w:pPr>
      <w:r>
        <w:t>At the time of conducting this simulation, the most recent forward rate curve data available from the Bank of England site was November 28</w:t>
      </w:r>
      <w:r w:rsidRPr="008F74A0">
        <w:rPr>
          <w:vertAlign w:val="superscript"/>
        </w:rPr>
        <w:t>th</w:t>
      </w:r>
      <w:r>
        <w:t>, 2014</w:t>
      </w:r>
      <w:r w:rsidR="00542FC3">
        <w:t xml:space="preserve"> and </w:t>
      </w:r>
      <w:r w:rsidR="0095722D">
        <w:t>is</w:t>
      </w:r>
      <w:r w:rsidR="00542FC3">
        <w:t xml:space="preserve"> chosen to be the </w:t>
      </w:r>
      <w:r w:rsidR="00542FC3">
        <w:lastRenderedPageBreak/>
        <w:t>starting point of all HJM simulations</w:t>
      </w:r>
      <w:r>
        <w:t xml:space="preserve">.  The figure below illustrates the shape of the curve at </w:t>
      </w:r>
      <w:r w:rsidR="0095722D">
        <w:t>this</w:t>
      </w:r>
      <w:r>
        <w:t xml:space="preserve"> point in time.</w:t>
      </w:r>
    </w:p>
    <w:p w:rsidR="00D71090" w:rsidRDefault="0007723D" w:rsidP="00D71090">
      <w:pPr>
        <w:pStyle w:val="Heading8"/>
        <w:keepNext/>
      </w:pPr>
      <w:r>
        <w:t>Figure 12</w:t>
      </w:r>
      <w:r w:rsidR="00D71090" w:rsidRPr="00960BFC">
        <w:t xml:space="preserve">: </w:t>
      </w:r>
      <w:r w:rsidR="00D71090">
        <w:t>Forward Rate Curve at Start of Simulation</w:t>
      </w:r>
    </w:p>
    <w:p w:rsidR="001C1911" w:rsidRDefault="001C1911" w:rsidP="001C1911">
      <w:pPr>
        <w:pStyle w:val="text"/>
        <w:jc w:val="center"/>
      </w:pPr>
      <w:r>
        <w:rPr>
          <w:noProof/>
        </w:rPr>
        <w:drawing>
          <wp:inline distT="0" distB="0" distL="0" distR="0">
            <wp:extent cx="3820395" cy="2677135"/>
            <wp:effectExtent l="19050" t="19050" r="27705" b="27965"/>
            <wp:docPr id="39" name="Picture 4" descr="C:\Users\Greg\Google Drive\Education\CQF\June 2014\Final Project\figures\forward_rate_term_structure_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reg\Google Drive\Education\CQF\June 2014\Final Project\figures\forward_rate_term_structure_start.png"/>
                    <pic:cNvPicPr>
                      <a:picLocks noChangeAspect="1" noChangeArrowheads="1"/>
                    </pic:cNvPicPr>
                  </pic:nvPicPr>
                  <pic:blipFill>
                    <a:blip r:embed="rId19" cstate="print"/>
                    <a:srcRect/>
                    <a:stretch>
                      <a:fillRect/>
                    </a:stretch>
                  </pic:blipFill>
                  <pic:spPr bwMode="auto">
                    <a:xfrm>
                      <a:off x="0" y="0"/>
                      <a:ext cx="3820395" cy="2677135"/>
                    </a:xfrm>
                    <a:prstGeom prst="rect">
                      <a:avLst/>
                    </a:prstGeom>
                    <a:noFill/>
                    <a:ln w="9525">
                      <a:solidFill>
                        <a:schemeClr val="tx1"/>
                      </a:solidFill>
                      <a:miter lim="800000"/>
                      <a:headEnd/>
                      <a:tailEnd/>
                    </a:ln>
                  </pic:spPr>
                </pic:pic>
              </a:graphicData>
            </a:graphic>
          </wp:inline>
        </w:drawing>
      </w:r>
    </w:p>
    <w:p w:rsidR="004C6DA7" w:rsidRDefault="007E25C5" w:rsidP="00034B84">
      <w:pPr>
        <w:pStyle w:val="text"/>
      </w:pPr>
      <w:r>
        <w:t>With Musiela parameterization</w:t>
      </w:r>
      <w:r w:rsidR="00922B6B">
        <w:t xml:space="preserve">, the </w:t>
      </w:r>
      <w:r>
        <w:t>SDE to implement the multi-factor HJM model becomes:</w:t>
      </w:r>
    </w:p>
    <w:p w:rsidR="004C6DA7" w:rsidRDefault="004C6DA7" w:rsidP="00034B84">
      <w:pPr>
        <w:pStyle w:val="text"/>
      </w:pPr>
      <m:oMathPara>
        <m:oMath>
          <m:r>
            <w:rPr>
              <w:rFonts w:ascii="Cambria Math" w:hAnsi="Cambria Math"/>
            </w:rPr>
            <m:t>d</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t,τ</m:t>
              </m:r>
            </m:e>
          </m:d>
          <m:r>
            <w:rPr>
              <w:rFonts w:ascii="Cambria Math" w:hAnsi="Cambria Math"/>
            </w:rPr>
            <m:t>=</m:t>
          </m:r>
          <m:acc>
            <m:accPr>
              <m:chr m:val="̅"/>
              <m:ctrlPr>
                <w:rPr>
                  <w:rFonts w:ascii="Cambria Math" w:hAnsi="Cambria Math"/>
                  <w:i/>
                </w:rPr>
              </m:ctrlPr>
            </m:accPr>
            <m:e>
              <m:r>
                <w:rPr>
                  <w:rFonts w:ascii="Cambria Math" w:hAnsi="Cambria Math"/>
                </w:rPr>
                <m:t>m</m:t>
              </m:r>
            </m:e>
          </m:acc>
          <m:d>
            <m:dPr>
              <m:ctrlPr>
                <w:rPr>
                  <w:rFonts w:ascii="Cambria Math" w:hAnsi="Cambria Math"/>
                  <w:i/>
                </w:rPr>
              </m:ctrlPr>
            </m:dPr>
            <m:e>
              <m:r>
                <w:rPr>
                  <w:rFonts w:ascii="Cambria Math" w:hAnsi="Cambria Math"/>
                </w:rPr>
                <m:t>t,τ</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ν</m:t>
                      </m:r>
                    </m:e>
                  </m:acc>
                </m:e>
                <m:sub>
                  <m:r>
                    <w:rPr>
                      <w:rFonts w:ascii="Cambria Math" w:hAnsi="Cambria Math"/>
                    </w:rPr>
                    <m:t>i</m:t>
                  </m:r>
                </m:sub>
              </m:sSub>
              <m:r>
                <w:rPr>
                  <w:rFonts w:ascii="Cambria Math" w:hAnsi="Cambria Math"/>
                </w:rPr>
                <m:t>(t,τ)</m:t>
              </m:r>
              <m:sSub>
                <m:sSubPr>
                  <m:ctrlPr>
                    <w:rPr>
                      <w:rFonts w:ascii="Cambria Math" w:hAnsi="Cambria Math"/>
                      <w:i/>
                    </w:rPr>
                  </m:ctrlPr>
                </m:sSubPr>
                <m:e>
                  <m:r>
                    <w:rPr>
                      <w:rFonts w:ascii="Cambria Math" w:hAnsi="Cambria Math"/>
                    </w:rPr>
                    <m:t>dX</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(t,τ)</m:t>
              </m:r>
            </m:num>
            <m:den>
              <m:r>
                <w:rPr>
                  <w:rFonts w:ascii="Cambria Math" w:hAnsi="Cambria Math"/>
                </w:rPr>
                <m:t>∂τ</m:t>
              </m:r>
            </m:den>
          </m:f>
        </m:oMath>
      </m:oMathPara>
    </w:p>
    <w:p w:rsidR="00034B84" w:rsidRDefault="00922B6B" w:rsidP="00034B84">
      <w:pPr>
        <w:pStyle w:val="text"/>
      </w:pPr>
      <w:r>
        <w:t>Where t</w:t>
      </w:r>
      <w:r w:rsidR="007E25C5">
        <w:t xml:space="preserve">he forward rate derivative, </w:t>
      </w:r>
      <m:oMath>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(t,τ)</m:t>
            </m:r>
          </m:num>
          <m:den>
            <m:r>
              <w:rPr>
                <w:rFonts w:ascii="Cambria Math" w:hAnsi="Cambria Math"/>
              </w:rPr>
              <m:t>∂τ</m:t>
            </m:r>
          </m:den>
        </m:f>
      </m:oMath>
      <w:r w:rsidR="007E25C5">
        <w:t>, is calculated using the previous row of the simulation.</w:t>
      </w:r>
    </w:p>
    <w:p w:rsidR="007E25C5" w:rsidRPr="00034B84" w:rsidRDefault="007E25C5" w:rsidP="00034B84">
      <w:pPr>
        <w:pStyle w:val="text"/>
      </w:pPr>
      <w:r>
        <w:t xml:space="preserve">The </w:t>
      </w:r>
      <w:r w:rsidR="00922B6B">
        <w:t>figures</w:t>
      </w:r>
      <w:r>
        <w:t xml:space="preserve"> below illustrate a single simulation for both the Numpy and Sobol implementations.</w:t>
      </w:r>
    </w:p>
    <w:p w:rsidR="006F2AD4" w:rsidRDefault="0007723D" w:rsidP="006F2AD4">
      <w:pPr>
        <w:pStyle w:val="Heading8"/>
        <w:keepNext/>
      </w:pPr>
      <w:bookmarkStart w:id="15" w:name="_Toc408743812"/>
      <w:r>
        <w:lastRenderedPageBreak/>
        <w:t>Figure 13</w:t>
      </w:r>
      <w:r w:rsidR="006F2AD4" w:rsidRPr="00960BFC">
        <w:t xml:space="preserve">: </w:t>
      </w:r>
      <w:r w:rsidR="001262BB">
        <w:t>Numpy</w:t>
      </w:r>
      <w:r w:rsidR="006F2AD4">
        <w:t xml:space="preserve"> Projection of Forward Rates</w:t>
      </w:r>
      <w:bookmarkEnd w:id="15"/>
    </w:p>
    <w:p w:rsidR="00426A68" w:rsidRDefault="00426A68" w:rsidP="00034B84">
      <w:pPr>
        <w:pStyle w:val="text"/>
        <w:jc w:val="center"/>
      </w:pPr>
      <w:r>
        <w:rPr>
          <w:noProof/>
        </w:rPr>
        <w:drawing>
          <wp:inline distT="0" distB="0" distL="0" distR="0">
            <wp:extent cx="3877559" cy="2677135"/>
            <wp:effectExtent l="19050" t="19050" r="27691" b="27965"/>
            <wp:docPr id="28" name="Picture 26" descr="C:\Users\Greg\Google Drive\Education\CQF\June 2014\Final Project\figures\forward_rate_projections_num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reg\Google Drive\Education\CQF\June 2014\Final Project\figures\forward_rate_projections_numpy.png"/>
                    <pic:cNvPicPr>
                      <a:picLocks noChangeAspect="1" noChangeArrowheads="1"/>
                    </pic:cNvPicPr>
                  </pic:nvPicPr>
                  <pic:blipFill>
                    <a:blip r:embed="rId20" cstate="print"/>
                    <a:srcRect/>
                    <a:stretch>
                      <a:fillRect/>
                    </a:stretch>
                  </pic:blipFill>
                  <pic:spPr bwMode="auto">
                    <a:xfrm>
                      <a:off x="0" y="0"/>
                      <a:ext cx="3877559" cy="2677135"/>
                    </a:xfrm>
                    <a:prstGeom prst="rect">
                      <a:avLst/>
                    </a:prstGeom>
                    <a:noFill/>
                    <a:ln w="9525">
                      <a:solidFill>
                        <a:schemeClr val="tx1"/>
                      </a:solidFill>
                      <a:miter lim="800000"/>
                      <a:headEnd/>
                      <a:tailEnd/>
                    </a:ln>
                  </pic:spPr>
                </pic:pic>
              </a:graphicData>
            </a:graphic>
          </wp:inline>
        </w:drawing>
      </w:r>
    </w:p>
    <w:p w:rsidR="00426A68" w:rsidRDefault="00426A68" w:rsidP="00426A68">
      <w:pPr>
        <w:pStyle w:val="text"/>
      </w:pPr>
    </w:p>
    <w:p w:rsidR="00034B84" w:rsidRDefault="0007723D" w:rsidP="00034B84">
      <w:pPr>
        <w:pStyle w:val="Heading8"/>
        <w:keepNext/>
      </w:pPr>
      <w:bookmarkStart w:id="16" w:name="_Toc408743813"/>
      <w:r>
        <w:t>Figure 14</w:t>
      </w:r>
      <w:r w:rsidR="00034B84" w:rsidRPr="00960BFC">
        <w:t xml:space="preserve">: </w:t>
      </w:r>
      <w:r w:rsidR="006F2AD4">
        <w:t>Sobol Projection of Forward Rates</w:t>
      </w:r>
      <w:bookmarkEnd w:id="16"/>
    </w:p>
    <w:p w:rsidR="00426A68" w:rsidRDefault="00426A68" w:rsidP="00034B84">
      <w:pPr>
        <w:pStyle w:val="text"/>
        <w:jc w:val="center"/>
      </w:pPr>
      <w:r>
        <w:rPr>
          <w:noProof/>
        </w:rPr>
        <w:drawing>
          <wp:inline distT="0" distB="0" distL="0" distR="0">
            <wp:extent cx="3877559" cy="2677135"/>
            <wp:effectExtent l="19050" t="19050" r="27691" b="27965"/>
            <wp:docPr id="29" name="Picture 27" descr="C:\Users\Greg\Google Drive\Education\CQF\June 2014\Final Project\figures\forward_rate_projections_so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reg\Google Drive\Education\CQF\June 2014\Final Project\figures\forward_rate_projections_sobol.png"/>
                    <pic:cNvPicPr>
                      <a:picLocks noChangeAspect="1" noChangeArrowheads="1"/>
                    </pic:cNvPicPr>
                  </pic:nvPicPr>
                  <pic:blipFill>
                    <a:blip r:embed="rId21" cstate="print"/>
                    <a:srcRect/>
                    <a:stretch>
                      <a:fillRect/>
                    </a:stretch>
                  </pic:blipFill>
                  <pic:spPr bwMode="auto">
                    <a:xfrm>
                      <a:off x="0" y="0"/>
                      <a:ext cx="3877559" cy="2677135"/>
                    </a:xfrm>
                    <a:prstGeom prst="rect">
                      <a:avLst/>
                    </a:prstGeom>
                    <a:noFill/>
                    <a:ln w="9525">
                      <a:solidFill>
                        <a:schemeClr val="tx1"/>
                      </a:solidFill>
                      <a:miter lim="800000"/>
                      <a:headEnd/>
                      <a:tailEnd/>
                    </a:ln>
                  </pic:spPr>
                </pic:pic>
              </a:graphicData>
            </a:graphic>
          </wp:inline>
        </w:drawing>
      </w:r>
    </w:p>
    <w:p w:rsidR="006F2AD4" w:rsidRDefault="0007723D" w:rsidP="006F2AD4">
      <w:pPr>
        <w:pStyle w:val="Heading8"/>
        <w:keepNext/>
      </w:pPr>
      <w:bookmarkStart w:id="17" w:name="_Toc408743814"/>
      <w:r>
        <w:lastRenderedPageBreak/>
        <w:t>Figure 15</w:t>
      </w:r>
      <w:r w:rsidR="006F2AD4" w:rsidRPr="00960BFC">
        <w:t xml:space="preserve">: </w:t>
      </w:r>
      <w:r w:rsidR="006F2AD4">
        <w:t>Numpy Evolution of Forward Rate Curve</w:t>
      </w:r>
      <w:bookmarkEnd w:id="17"/>
    </w:p>
    <w:p w:rsidR="00BA1437" w:rsidRDefault="00BA1437" w:rsidP="00034B84">
      <w:pPr>
        <w:pStyle w:val="text"/>
        <w:jc w:val="center"/>
      </w:pPr>
      <w:r>
        <w:rPr>
          <w:noProof/>
        </w:rPr>
        <w:drawing>
          <wp:inline distT="0" distB="0" distL="0" distR="0">
            <wp:extent cx="4077629" cy="2677135"/>
            <wp:effectExtent l="19050" t="19050" r="18121" b="27965"/>
            <wp:docPr id="30" name="Picture 28" descr="C:\Users\Greg\Google Drive\Education\CQF\June 2014\Final Project\figures\forward_rate_term_structure_num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reg\Google Drive\Education\CQF\June 2014\Final Project\figures\forward_rate_term_structure_numpy.png"/>
                    <pic:cNvPicPr>
                      <a:picLocks noChangeAspect="1" noChangeArrowheads="1"/>
                    </pic:cNvPicPr>
                  </pic:nvPicPr>
                  <pic:blipFill>
                    <a:blip r:embed="rId22" cstate="print"/>
                    <a:srcRect/>
                    <a:stretch>
                      <a:fillRect/>
                    </a:stretch>
                  </pic:blipFill>
                  <pic:spPr bwMode="auto">
                    <a:xfrm>
                      <a:off x="0" y="0"/>
                      <a:ext cx="4077629" cy="2677135"/>
                    </a:xfrm>
                    <a:prstGeom prst="rect">
                      <a:avLst/>
                    </a:prstGeom>
                    <a:noFill/>
                    <a:ln w="9525">
                      <a:solidFill>
                        <a:schemeClr val="tx1"/>
                      </a:solidFill>
                      <a:miter lim="800000"/>
                      <a:headEnd/>
                      <a:tailEnd/>
                    </a:ln>
                  </pic:spPr>
                </pic:pic>
              </a:graphicData>
            </a:graphic>
          </wp:inline>
        </w:drawing>
      </w:r>
    </w:p>
    <w:p w:rsidR="00034B84" w:rsidRDefault="0007723D" w:rsidP="00034B84">
      <w:pPr>
        <w:pStyle w:val="Heading8"/>
        <w:keepNext/>
      </w:pPr>
      <w:bookmarkStart w:id="18" w:name="_Toc408743815"/>
      <w:r>
        <w:t>Figure 16</w:t>
      </w:r>
      <w:r w:rsidR="00034B84" w:rsidRPr="00960BFC">
        <w:t xml:space="preserve">: </w:t>
      </w:r>
      <w:r w:rsidR="00457ECA">
        <w:t>Sobol Evolution of Forward Rate Curve</w:t>
      </w:r>
      <w:bookmarkEnd w:id="18"/>
    </w:p>
    <w:p w:rsidR="00EB3C32" w:rsidRDefault="00EB3C32" w:rsidP="00034B84">
      <w:pPr>
        <w:pStyle w:val="text"/>
        <w:jc w:val="center"/>
      </w:pPr>
      <w:r>
        <w:rPr>
          <w:noProof/>
        </w:rPr>
        <w:drawing>
          <wp:inline distT="0" distB="0" distL="0" distR="0">
            <wp:extent cx="4029993" cy="2677135"/>
            <wp:effectExtent l="19050" t="19050" r="27657" b="27965"/>
            <wp:docPr id="31" name="Picture 29" descr="C:\Users\Greg\Google Drive\Education\CQF\June 2014\Final Project\figures\forward_rate_term_structure_so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reg\Google Drive\Education\CQF\June 2014\Final Project\figures\forward_rate_term_structure_sobol.png"/>
                    <pic:cNvPicPr>
                      <a:picLocks noChangeAspect="1" noChangeArrowheads="1"/>
                    </pic:cNvPicPr>
                  </pic:nvPicPr>
                  <pic:blipFill>
                    <a:blip r:embed="rId23" cstate="print"/>
                    <a:srcRect/>
                    <a:stretch>
                      <a:fillRect/>
                    </a:stretch>
                  </pic:blipFill>
                  <pic:spPr bwMode="auto">
                    <a:xfrm>
                      <a:off x="0" y="0"/>
                      <a:ext cx="4029993" cy="2677135"/>
                    </a:xfrm>
                    <a:prstGeom prst="rect">
                      <a:avLst/>
                    </a:prstGeom>
                    <a:noFill/>
                    <a:ln w="9525">
                      <a:solidFill>
                        <a:schemeClr val="tx1"/>
                      </a:solidFill>
                      <a:miter lim="800000"/>
                      <a:headEnd/>
                      <a:tailEnd/>
                    </a:ln>
                  </pic:spPr>
                </pic:pic>
              </a:graphicData>
            </a:graphic>
          </wp:inline>
        </w:drawing>
      </w:r>
    </w:p>
    <w:p w:rsidR="00EB3C32" w:rsidRDefault="00922B6B" w:rsidP="00426A68">
      <w:pPr>
        <w:pStyle w:val="text"/>
      </w:pPr>
      <w:r>
        <w:t xml:space="preserve">It is apparent from just one simulation that the Sobol implementation exhibits much more stability in the forward rate projections and subsequently in the forward rate curve as a whole.  After conducting </w:t>
      </w:r>
      <w:r w:rsidR="00195DB3">
        <w:t xml:space="preserve">visual examination of </w:t>
      </w:r>
      <w:r>
        <w:t xml:space="preserve">numerous </w:t>
      </w:r>
      <w:r w:rsidR="00195DB3">
        <w:t>simulations</w:t>
      </w:r>
      <w:r>
        <w:t xml:space="preserve">, Sobol seemed to exhibit very little variation in the </w:t>
      </w:r>
      <w:r w:rsidR="007034BC">
        <w:t>simulated</w:t>
      </w:r>
      <w:r>
        <w:t xml:space="preserve"> movement of the forward rate curve while Numpy </w:t>
      </w:r>
      <w:r w:rsidR="00356E90">
        <w:t>had more varied results.</w:t>
      </w:r>
      <w:r w:rsidR="006D4F17">
        <w:t xml:space="preserve">  Both Numpy and Sobol tended to evolve </w:t>
      </w:r>
      <w:r w:rsidR="006D4F17">
        <w:lastRenderedPageBreak/>
        <w:t>toward an inverted forward rate curve toward the end of the simulation (at 10 years).  There may likely be multiple contributing factors as to the cause of this outcome.</w:t>
      </w:r>
    </w:p>
    <w:p w:rsidR="0024249D" w:rsidRDefault="006D4F17" w:rsidP="0024249D">
      <w:pPr>
        <w:pStyle w:val="text"/>
      </w:pPr>
      <w:r>
        <w:t xml:space="preserve">First, the starting state of the forward curve was very steep at the short term rates.  It is likely that the forward rate derivative, </w:t>
      </w:r>
      <m:oMath>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(t,τ)</m:t>
            </m:r>
          </m:num>
          <m:den>
            <m:r>
              <w:rPr>
                <w:rFonts w:ascii="Cambria Math" w:hAnsi="Cambria Math"/>
              </w:rPr>
              <m:t>∂τ</m:t>
            </m:r>
          </m:den>
        </m:f>
      </m:oMath>
      <w:r>
        <w:t>, contributed to a “pulling” effect where the derivative has the largest impact for each time step since the rate difference between the tenors were greatest.</w:t>
      </w:r>
      <w:r w:rsidR="0024249D">
        <w:t xml:space="preserve">  </w:t>
      </w:r>
      <w:r w:rsidR="007034BC">
        <w:t>For the same reason, it is likely that the longer rates faced a slight downward pull since that part of the curve had started inverted.</w:t>
      </w:r>
    </w:p>
    <w:p w:rsidR="006D4F17" w:rsidRPr="00426A68" w:rsidRDefault="0024249D" w:rsidP="0024249D">
      <w:pPr>
        <w:pStyle w:val="text"/>
      </w:pPr>
      <w:r>
        <w:t xml:space="preserve">Second, the second volatility function which represents the skew may have had a large impact on the tendency toward inversion.  </w:t>
      </w:r>
      <w:r w:rsidR="007034BC">
        <w:t>Volatilities</w:t>
      </w:r>
      <w:r>
        <w:t xml:space="preserve"> were greatest in magnitude for the shorter maturities </w:t>
      </w:r>
      <w:r w:rsidR="00F7491C">
        <w:t>and slightly negatively correlated to the longer maturities.</w:t>
      </w:r>
    </w:p>
    <w:p w:rsidR="00B727CD" w:rsidRDefault="00B727CD" w:rsidP="00EC4DA3">
      <w:pPr>
        <w:pStyle w:val="Heading1"/>
      </w:pPr>
      <w:bookmarkStart w:id="19" w:name="_Toc408844290"/>
      <w:r>
        <w:t>Monte Carlo</w:t>
      </w:r>
      <w:bookmarkEnd w:id="19"/>
    </w:p>
    <w:p w:rsidR="001F1DEB" w:rsidRDefault="001F1DEB" w:rsidP="001F1DEB">
      <w:pPr>
        <w:pStyle w:val="Heading3"/>
      </w:pPr>
      <w:bookmarkStart w:id="20" w:name="_Toc408844291"/>
      <w:r>
        <w:t>Convergence</w:t>
      </w:r>
      <w:bookmarkEnd w:id="20"/>
    </w:p>
    <w:p w:rsidR="00CF3251" w:rsidRDefault="00EC361D" w:rsidP="00CF3251">
      <w:pPr>
        <w:pStyle w:val="text"/>
      </w:pPr>
      <w:r>
        <w:t xml:space="preserve">A 10,000 simulation </w:t>
      </w:r>
      <w:r w:rsidR="007034BC">
        <w:t>Monte</w:t>
      </w:r>
      <w:r>
        <w:t xml:space="preserve"> </w:t>
      </w:r>
      <w:r w:rsidR="007034BC">
        <w:t>Carlo</w:t>
      </w:r>
      <w:r>
        <w:t xml:space="preserve"> was executed for both the Numpy and Sobol implementations.  For comparison purposes and to demonstrate rate of conversion, the average value of a caplet with a 6 month expiry and 1year maturity with a strike of 150 bps was plotted over 500, 2,000, and 10,000 simulations.</w:t>
      </w:r>
    </w:p>
    <w:p w:rsidR="00192DC1" w:rsidRDefault="00192DC1" w:rsidP="00CF3251">
      <w:pPr>
        <w:pStyle w:val="text"/>
      </w:pPr>
      <w:r>
        <w:t>At 500 simulations it is already quite clear that Sobol converged rather quickly.</w:t>
      </w:r>
      <w:r w:rsidR="001F1DEB">
        <w:t xml:space="preserve">  The Numpy implementation, on the other hand, continues to show significant variation until around 3,000 simulations and doesn’t begin to level out until well after 6,000 simulations.</w:t>
      </w:r>
    </w:p>
    <w:p w:rsidR="00960BFC" w:rsidRPr="00960BFC" w:rsidRDefault="0007723D" w:rsidP="00BE139A">
      <w:pPr>
        <w:pStyle w:val="Heading8"/>
        <w:keepNext/>
      </w:pPr>
      <w:bookmarkStart w:id="21" w:name="_Toc408743818"/>
      <w:r>
        <w:lastRenderedPageBreak/>
        <w:t>Figure 17</w:t>
      </w:r>
      <w:r w:rsidR="00960BFC" w:rsidRPr="00960BFC">
        <w:t xml:space="preserve">: </w:t>
      </w:r>
      <w:r w:rsidR="00960BFC">
        <w:t>Numpy</w:t>
      </w:r>
      <w:r w:rsidR="00960BFC" w:rsidRPr="00960BFC">
        <w:t xml:space="preserve"> at 500 Simulations</w:t>
      </w:r>
      <w:bookmarkEnd w:id="21"/>
    </w:p>
    <w:p w:rsidR="00960BFC" w:rsidRDefault="00960BFC" w:rsidP="001F1DEB">
      <w:pPr>
        <w:pStyle w:val="text"/>
        <w:jc w:val="center"/>
      </w:pPr>
      <w:r>
        <w:rPr>
          <w:noProof/>
        </w:rPr>
        <w:drawing>
          <wp:inline distT="0" distB="0" distL="0" distR="0">
            <wp:extent cx="4106210" cy="2820043"/>
            <wp:effectExtent l="19050" t="19050" r="27640" b="18407"/>
            <wp:docPr id="9" name="Picture 8" descr="C:\Users\Greg\Google Drive\Education\CQF\June 2014\Final Project\figures\caplet_price_convergence_numpy_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reg\Google Drive\Education\CQF\June 2014\Final Project\figures\caplet_price_convergence_numpy_500.png"/>
                    <pic:cNvPicPr>
                      <a:picLocks noChangeAspect="1" noChangeArrowheads="1"/>
                    </pic:cNvPicPr>
                  </pic:nvPicPr>
                  <pic:blipFill>
                    <a:blip r:embed="rId24" cstate="print"/>
                    <a:srcRect/>
                    <a:stretch>
                      <a:fillRect/>
                    </a:stretch>
                  </pic:blipFill>
                  <pic:spPr bwMode="auto">
                    <a:xfrm>
                      <a:off x="0" y="0"/>
                      <a:ext cx="4106210" cy="2820043"/>
                    </a:xfrm>
                    <a:prstGeom prst="rect">
                      <a:avLst/>
                    </a:prstGeom>
                    <a:noFill/>
                    <a:ln w="9525">
                      <a:solidFill>
                        <a:schemeClr val="tx1"/>
                      </a:solidFill>
                      <a:miter lim="800000"/>
                      <a:headEnd/>
                      <a:tailEnd/>
                    </a:ln>
                  </pic:spPr>
                </pic:pic>
              </a:graphicData>
            </a:graphic>
          </wp:inline>
        </w:drawing>
      </w:r>
    </w:p>
    <w:p w:rsidR="00960BFC" w:rsidRDefault="0007723D" w:rsidP="008F3EE7">
      <w:pPr>
        <w:pStyle w:val="Heading8"/>
        <w:keepNext/>
      </w:pPr>
      <w:bookmarkStart w:id="22" w:name="_Toc408743819"/>
      <w:r>
        <w:t>Figure 18</w:t>
      </w:r>
      <w:r w:rsidR="00960BFC">
        <w:t>: Sobol at 500 Simulations</w:t>
      </w:r>
      <w:bookmarkEnd w:id="22"/>
    </w:p>
    <w:p w:rsidR="00960BFC" w:rsidRDefault="00960BFC" w:rsidP="00F42869">
      <w:pPr>
        <w:pStyle w:val="text"/>
        <w:jc w:val="center"/>
      </w:pPr>
      <w:r>
        <w:rPr>
          <w:noProof/>
        </w:rPr>
        <w:drawing>
          <wp:inline distT="0" distB="0" distL="0" distR="0">
            <wp:extent cx="4106210" cy="2820043"/>
            <wp:effectExtent l="19050" t="19050" r="27640" b="18407"/>
            <wp:docPr id="10" name="Picture 9" descr="C:\Users\Greg\Google Drive\Education\CQF\June 2014\Final Project\figures\caplet_price_convergence_sobol_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reg\Google Drive\Education\CQF\June 2014\Final Project\figures\caplet_price_convergence_sobol_500.png"/>
                    <pic:cNvPicPr>
                      <a:picLocks noChangeAspect="1" noChangeArrowheads="1"/>
                    </pic:cNvPicPr>
                  </pic:nvPicPr>
                  <pic:blipFill>
                    <a:blip r:embed="rId25" cstate="print"/>
                    <a:srcRect/>
                    <a:stretch>
                      <a:fillRect/>
                    </a:stretch>
                  </pic:blipFill>
                  <pic:spPr bwMode="auto">
                    <a:xfrm>
                      <a:off x="0" y="0"/>
                      <a:ext cx="4106210" cy="2820043"/>
                    </a:xfrm>
                    <a:prstGeom prst="rect">
                      <a:avLst/>
                    </a:prstGeom>
                    <a:noFill/>
                    <a:ln w="9525">
                      <a:solidFill>
                        <a:schemeClr val="tx1"/>
                      </a:solidFill>
                      <a:miter lim="800000"/>
                      <a:headEnd/>
                      <a:tailEnd/>
                    </a:ln>
                  </pic:spPr>
                </pic:pic>
              </a:graphicData>
            </a:graphic>
          </wp:inline>
        </w:drawing>
      </w:r>
    </w:p>
    <w:p w:rsidR="006A4619" w:rsidRDefault="0007723D" w:rsidP="00A11E26">
      <w:pPr>
        <w:pStyle w:val="Heading8"/>
        <w:keepNext/>
        <w:ind w:left="0" w:firstLine="0"/>
      </w:pPr>
      <w:bookmarkStart w:id="23" w:name="_Toc408743820"/>
      <w:r>
        <w:lastRenderedPageBreak/>
        <w:t>Figure 19</w:t>
      </w:r>
      <w:r w:rsidR="006A4619">
        <w:t>: Numpy at 2,000 Simulations</w:t>
      </w:r>
      <w:bookmarkEnd w:id="23"/>
    </w:p>
    <w:p w:rsidR="006A4619" w:rsidRDefault="006A4619" w:rsidP="006A4619">
      <w:pPr>
        <w:pStyle w:val="text"/>
        <w:jc w:val="center"/>
      </w:pPr>
      <w:r>
        <w:rPr>
          <w:noProof/>
        </w:rPr>
        <w:drawing>
          <wp:inline distT="0" distB="0" distL="0" distR="0">
            <wp:extent cx="4106210" cy="2820043"/>
            <wp:effectExtent l="19050" t="19050" r="27640" b="18407"/>
            <wp:docPr id="14" name="Picture 12" descr="C:\Users\Greg\Google Drive\Education\CQF\June 2014\Final Project\figures\caplet_price_convergence_numpy_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reg\Google Drive\Education\CQF\June 2014\Final Project\figures\caplet_price_convergence_numpy_2000.png"/>
                    <pic:cNvPicPr>
                      <a:picLocks noChangeAspect="1" noChangeArrowheads="1"/>
                    </pic:cNvPicPr>
                  </pic:nvPicPr>
                  <pic:blipFill>
                    <a:blip r:embed="rId26" cstate="print"/>
                    <a:srcRect/>
                    <a:stretch>
                      <a:fillRect/>
                    </a:stretch>
                  </pic:blipFill>
                  <pic:spPr bwMode="auto">
                    <a:xfrm>
                      <a:off x="0" y="0"/>
                      <a:ext cx="4106210" cy="2820043"/>
                    </a:xfrm>
                    <a:prstGeom prst="rect">
                      <a:avLst/>
                    </a:prstGeom>
                    <a:noFill/>
                    <a:ln w="9525">
                      <a:solidFill>
                        <a:schemeClr val="tx1"/>
                      </a:solidFill>
                      <a:miter lim="800000"/>
                      <a:headEnd/>
                      <a:tailEnd/>
                    </a:ln>
                  </pic:spPr>
                </pic:pic>
              </a:graphicData>
            </a:graphic>
          </wp:inline>
        </w:drawing>
      </w:r>
    </w:p>
    <w:p w:rsidR="006A4619" w:rsidRDefault="0007723D" w:rsidP="00A11E26">
      <w:pPr>
        <w:pStyle w:val="text"/>
        <w:keepNext/>
        <w:keepLines/>
        <w:spacing w:before="300" w:line="240" w:lineRule="auto"/>
        <w:ind w:firstLine="0"/>
        <w:jc w:val="center"/>
        <w:outlineLvl w:val="7"/>
      </w:pPr>
      <w:bookmarkStart w:id="24" w:name="_Toc408743821"/>
      <w:r>
        <w:t>Figure 20</w:t>
      </w:r>
      <w:r w:rsidR="006A4619">
        <w:t>: Sobol at 2,000 Simulations</w:t>
      </w:r>
      <w:bookmarkEnd w:id="24"/>
    </w:p>
    <w:p w:rsidR="006A4619" w:rsidRDefault="006A4619" w:rsidP="006A4619">
      <w:pPr>
        <w:pStyle w:val="text"/>
        <w:jc w:val="center"/>
      </w:pPr>
      <w:r>
        <w:rPr>
          <w:noProof/>
        </w:rPr>
        <w:drawing>
          <wp:inline distT="0" distB="0" distL="0" distR="0">
            <wp:extent cx="4106210" cy="2820043"/>
            <wp:effectExtent l="19050" t="19050" r="27640" b="18407"/>
            <wp:docPr id="15" name="Picture 13" descr="C:\Users\Greg\Google Drive\Education\CQF\June 2014\Final Project\figures\caplet_price_convergence_sobol_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reg\Google Drive\Education\CQF\June 2014\Final Project\figures\caplet_price_convergence_sobol_2000.png"/>
                    <pic:cNvPicPr>
                      <a:picLocks noChangeAspect="1" noChangeArrowheads="1"/>
                    </pic:cNvPicPr>
                  </pic:nvPicPr>
                  <pic:blipFill>
                    <a:blip r:embed="rId27" cstate="print"/>
                    <a:srcRect/>
                    <a:stretch>
                      <a:fillRect/>
                    </a:stretch>
                  </pic:blipFill>
                  <pic:spPr bwMode="auto">
                    <a:xfrm>
                      <a:off x="0" y="0"/>
                      <a:ext cx="4106210" cy="2820043"/>
                    </a:xfrm>
                    <a:prstGeom prst="rect">
                      <a:avLst/>
                    </a:prstGeom>
                    <a:noFill/>
                    <a:ln w="9525">
                      <a:solidFill>
                        <a:schemeClr val="tx1"/>
                      </a:solidFill>
                      <a:miter lim="800000"/>
                      <a:headEnd/>
                      <a:tailEnd/>
                    </a:ln>
                  </pic:spPr>
                </pic:pic>
              </a:graphicData>
            </a:graphic>
          </wp:inline>
        </w:drawing>
      </w:r>
    </w:p>
    <w:p w:rsidR="006A4619" w:rsidRDefault="0007723D" w:rsidP="00A11E26">
      <w:pPr>
        <w:pStyle w:val="Heading8"/>
        <w:keepNext/>
        <w:ind w:left="0" w:firstLine="0"/>
      </w:pPr>
      <w:bookmarkStart w:id="25" w:name="_Toc408743822"/>
      <w:r>
        <w:lastRenderedPageBreak/>
        <w:t>Figure 21</w:t>
      </w:r>
      <w:r w:rsidR="006A4619">
        <w:t>: Numpy at 10,000 Simulations</w:t>
      </w:r>
      <w:bookmarkEnd w:id="25"/>
    </w:p>
    <w:p w:rsidR="006A4619" w:rsidRDefault="006A4619" w:rsidP="006A4619">
      <w:pPr>
        <w:pStyle w:val="text"/>
        <w:jc w:val="center"/>
      </w:pPr>
      <w:r>
        <w:rPr>
          <w:noProof/>
        </w:rPr>
        <w:drawing>
          <wp:inline distT="0" distB="0" distL="0" distR="0">
            <wp:extent cx="4106210" cy="2820043"/>
            <wp:effectExtent l="19050" t="19050" r="27640" b="18407"/>
            <wp:docPr id="16" name="Picture 14" descr="C:\Users\Greg\Google Drive\Education\CQF\June 2014\Final Project\figures\caplet_price_convergence_numpy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reg\Google Drive\Education\CQF\June 2014\Final Project\figures\caplet_price_convergence_numpy_all.png"/>
                    <pic:cNvPicPr>
                      <a:picLocks noChangeAspect="1" noChangeArrowheads="1"/>
                    </pic:cNvPicPr>
                  </pic:nvPicPr>
                  <pic:blipFill>
                    <a:blip r:embed="rId28" cstate="print"/>
                    <a:srcRect/>
                    <a:stretch>
                      <a:fillRect/>
                    </a:stretch>
                  </pic:blipFill>
                  <pic:spPr bwMode="auto">
                    <a:xfrm>
                      <a:off x="0" y="0"/>
                      <a:ext cx="4106210" cy="2820043"/>
                    </a:xfrm>
                    <a:prstGeom prst="rect">
                      <a:avLst/>
                    </a:prstGeom>
                    <a:noFill/>
                    <a:ln w="9525">
                      <a:solidFill>
                        <a:schemeClr val="tx1"/>
                      </a:solidFill>
                      <a:miter lim="800000"/>
                      <a:headEnd/>
                      <a:tailEnd/>
                    </a:ln>
                  </pic:spPr>
                </pic:pic>
              </a:graphicData>
            </a:graphic>
          </wp:inline>
        </w:drawing>
      </w:r>
    </w:p>
    <w:p w:rsidR="006A4619" w:rsidRDefault="0007723D" w:rsidP="00A11E26">
      <w:pPr>
        <w:pStyle w:val="Heading8"/>
        <w:keepNext/>
        <w:ind w:left="0" w:firstLine="0"/>
      </w:pPr>
      <w:bookmarkStart w:id="26" w:name="_Toc408743823"/>
      <w:r>
        <w:t>Figure 22</w:t>
      </w:r>
      <w:r w:rsidR="006A4619">
        <w:t xml:space="preserve">: </w:t>
      </w:r>
      <w:r w:rsidR="00BE139A">
        <w:t>Sobol</w:t>
      </w:r>
      <w:r w:rsidR="006A4619">
        <w:t xml:space="preserve"> at 10,000 Simulations</w:t>
      </w:r>
      <w:bookmarkEnd w:id="26"/>
    </w:p>
    <w:p w:rsidR="006A4619" w:rsidRDefault="006A4619" w:rsidP="006B39D3">
      <w:pPr>
        <w:pStyle w:val="text"/>
        <w:jc w:val="center"/>
      </w:pPr>
      <w:r>
        <w:rPr>
          <w:noProof/>
        </w:rPr>
        <w:drawing>
          <wp:inline distT="0" distB="0" distL="0" distR="0">
            <wp:extent cx="4106210" cy="2820043"/>
            <wp:effectExtent l="19050" t="19050" r="27640" b="18407"/>
            <wp:docPr id="17" name="Picture 15" descr="C:\Users\Greg\Google Drive\Education\CQF\June 2014\Final Project\figures\caplet_price_convergence_sobol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reg\Google Drive\Education\CQF\June 2014\Final Project\figures\caplet_price_convergence_sobol_all.png"/>
                    <pic:cNvPicPr>
                      <a:picLocks noChangeAspect="1" noChangeArrowheads="1"/>
                    </pic:cNvPicPr>
                  </pic:nvPicPr>
                  <pic:blipFill>
                    <a:blip r:embed="rId29" cstate="print"/>
                    <a:srcRect/>
                    <a:stretch>
                      <a:fillRect/>
                    </a:stretch>
                  </pic:blipFill>
                  <pic:spPr bwMode="auto">
                    <a:xfrm>
                      <a:off x="0" y="0"/>
                      <a:ext cx="4106210" cy="2820043"/>
                    </a:xfrm>
                    <a:prstGeom prst="rect">
                      <a:avLst/>
                    </a:prstGeom>
                    <a:noFill/>
                    <a:ln w="9525">
                      <a:solidFill>
                        <a:schemeClr val="tx1"/>
                      </a:solidFill>
                      <a:miter lim="800000"/>
                      <a:headEnd/>
                      <a:tailEnd/>
                    </a:ln>
                  </pic:spPr>
                </pic:pic>
              </a:graphicData>
            </a:graphic>
          </wp:inline>
        </w:drawing>
      </w:r>
    </w:p>
    <w:p w:rsidR="00540D89" w:rsidRDefault="00540D89" w:rsidP="006B39D3">
      <w:pPr>
        <w:pStyle w:val="text"/>
        <w:jc w:val="center"/>
      </w:pPr>
    </w:p>
    <w:p w:rsidR="00540D89" w:rsidRDefault="00540D89" w:rsidP="006B39D3">
      <w:pPr>
        <w:pStyle w:val="text"/>
        <w:jc w:val="center"/>
      </w:pPr>
    </w:p>
    <w:p w:rsidR="00540D89" w:rsidRDefault="00540D89" w:rsidP="006B39D3">
      <w:pPr>
        <w:pStyle w:val="text"/>
        <w:jc w:val="center"/>
      </w:pPr>
    </w:p>
    <w:p w:rsidR="006A4619" w:rsidRDefault="001F1DEB" w:rsidP="001F1DEB">
      <w:pPr>
        <w:pStyle w:val="Heading3"/>
      </w:pPr>
      <w:bookmarkStart w:id="27" w:name="_Toc408844292"/>
      <w:r>
        <w:lastRenderedPageBreak/>
        <w:t>Computation Time</w:t>
      </w:r>
      <w:bookmarkEnd w:id="27"/>
    </w:p>
    <w:p w:rsidR="00540D89" w:rsidRPr="00540D89" w:rsidRDefault="00AA10B7" w:rsidP="00540D89">
      <w:pPr>
        <w:pStyle w:val="text"/>
      </w:pPr>
      <w:r>
        <w:t>The Sobol implementation proved to be approximately 50% slower as compared to the Numpy simulation.  However, based on the fast convergence rate of Sobol, it is likely</w:t>
      </w:r>
      <w:r w:rsidR="001714A4">
        <w:t xml:space="preserve"> that Sobol would take </w:t>
      </w:r>
      <w:r w:rsidR="0038116C">
        <w:t>fewer</w:t>
      </w:r>
      <w:r w:rsidR="001714A4">
        <w:t xml:space="preserve"> simulations, and </w:t>
      </w:r>
      <w:r w:rsidR="0038116C">
        <w:t>consequentially</w:t>
      </w:r>
      <w:r w:rsidR="001714A4">
        <w:t xml:space="preserve"> less computation time,</w:t>
      </w:r>
      <w:r>
        <w:t xml:space="preserve"> to reach a given convergence threshold.</w:t>
      </w:r>
    </w:p>
    <w:p w:rsidR="009529BF" w:rsidRPr="009529BF" w:rsidRDefault="0007723D" w:rsidP="009529BF">
      <w:pPr>
        <w:pStyle w:val="Heading8"/>
        <w:keepNext/>
        <w:ind w:left="0" w:firstLine="0"/>
      </w:pPr>
      <w:r>
        <w:t>Figure 3</w:t>
      </w:r>
      <w:r w:rsidR="001F1DEB">
        <w:t xml:space="preserve">: </w:t>
      </w:r>
      <w:r w:rsidR="009E3AA9">
        <w:t xml:space="preserve">Processing Time for 10,000 </w:t>
      </w:r>
      <w:r w:rsidR="007034BC">
        <w:t>Simulation</w:t>
      </w:r>
      <w:r w:rsidR="009E3AA9">
        <w:t xml:space="preserve"> Monte Carlo</w:t>
      </w:r>
      <w:r w:rsidR="009529BF">
        <w:t xml:space="preserve"> (seconds)</w:t>
      </w:r>
    </w:p>
    <w:tbl>
      <w:tblPr>
        <w:tblW w:w="0" w:type="auto"/>
        <w:jc w:val="center"/>
        <w:tblInd w:w="96" w:type="dxa"/>
        <w:tblLook w:val="04A0"/>
      </w:tblPr>
      <w:tblGrid>
        <w:gridCol w:w="865"/>
        <w:gridCol w:w="1535"/>
        <w:gridCol w:w="1521"/>
      </w:tblGrid>
      <w:tr w:rsidR="001F1DEB" w:rsidRPr="001F1DEB" w:rsidTr="009E3AA9">
        <w:trPr>
          <w:trHeight w:val="300"/>
          <w:jc w:val="center"/>
        </w:trPr>
        <w:tc>
          <w:tcPr>
            <w:tcW w:w="0" w:type="auto"/>
            <w:tcBorders>
              <w:top w:val="single" w:sz="8" w:space="0" w:color="auto"/>
              <w:left w:val="single" w:sz="8" w:space="0" w:color="auto"/>
              <w:bottom w:val="single" w:sz="4" w:space="0" w:color="auto"/>
              <w:right w:val="single" w:sz="4" w:space="0" w:color="auto"/>
            </w:tcBorders>
            <w:shd w:val="clear" w:color="auto" w:fill="auto"/>
            <w:noWrap/>
            <w:vAlign w:val="bottom"/>
            <w:hideMark/>
          </w:tcPr>
          <w:p w:rsidR="001F1DEB" w:rsidRPr="001F1DEB" w:rsidRDefault="001F1DEB" w:rsidP="001F1DEB">
            <w:pPr>
              <w:keepNext/>
              <w:overflowPunct/>
              <w:autoSpaceDE/>
              <w:autoSpaceDN/>
              <w:adjustRightInd/>
              <w:jc w:val="center"/>
              <w:textAlignment w:val="auto"/>
              <w:rPr>
                <w:rFonts w:ascii="Calibri" w:hAnsi="Calibri"/>
                <w:color w:val="000000"/>
                <w:sz w:val="22"/>
                <w:szCs w:val="22"/>
              </w:rPr>
            </w:pPr>
          </w:p>
        </w:tc>
        <w:tc>
          <w:tcPr>
            <w:tcW w:w="0" w:type="auto"/>
            <w:tcBorders>
              <w:top w:val="single" w:sz="8" w:space="0" w:color="auto"/>
              <w:left w:val="nil"/>
              <w:bottom w:val="single" w:sz="4" w:space="0" w:color="auto"/>
              <w:right w:val="single" w:sz="4" w:space="0" w:color="auto"/>
            </w:tcBorders>
            <w:shd w:val="clear" w:color="auto" w:fill="auto"/>
            <w:noWrap/>
            <w:vAlign w:val="bottom"/>
            <w:hideMark/>
          </w:tcPr>
          <w:p w:rsidR="001F1DEB" w:rsidRPr="001F1DEB" w:rsidRDefault="001F1DEB" w:rsidP="001F1DEB">
            <w:pPr>
              <w:keepNext/>
              <w:overflowPunct/>
              <w:autoSpaceDE/>
              <w:autoSpaceDN/>
              <w:adjustRightInd/>
              <w:jc w:val="center"/>
              <w:textAlignment w:val="auto"/>
              <w:rPr>
                <w:rFonts w:ascii="Calibri" w:hAnsi="Calibri"/>
                <w:color w:val="000000"/>
                <w:sz w:val="22"/>
                <w:szCs w:val="22"/>
              </w:rPr>
            </w:pPr>
            <w:r w:rsidRPr="001F1DEB">
              <w:rPr>
                <w:rFonts w:ascii="Calibri" w:hAnsi="Calibri"/>
                <w:color w:val="000000"/>
                <w:sz w:val="22"/>
                <w:szCs w:val="22"/>
              </w:rPr>
              <w:t xml:space="preserve">All </w:t>
            </w:r>
            <w:r w:rsidR="007034BC" w:rsidRPr="001F1DEB">
              <w:rPr>
                <w:rFonts w:ascii="Calibri" w:hAnsi="Calibri"/>
                <w:color w:val="000000"/>
                <w:sz w:val="22"/>
                <w:szCs w:val="22"/>
              </w:rPr>
              <w:t>Simulations</w:t>
            </w:r>
          </w:p>
        </w:tc>
        <w:tc>
          <w:tcPr>
            <w:tcW w:w="0" w:type="auto"/>
            <w:tcBorders>
              <w:top w:val="single" w:sz="8" w:space="0" w:color="auto"/>
              <w:left w:val="nil"/>
              <w:bottom w:val="single" w:sz="4" w:space="0" w:color="auto"/>
              <w:right w:val="single" w:sz="8" w:space="0" w:color="auto"/>
            </w:tcBorders>
            <w:shd w:val="clear" w:color="auto" w:fill="auto"/>
            <w:noWrap/>
            <w:vAlign w:val="bottom"/>
            <w:hideMark/>
          </w:tcPr>
          <w:p w:rsidR="001F1DEB" w:rsidRPr="001F1DEB" w:rsidRDefault="001F1DEB" w:rsidP="001F1DEB">
            <w:pPr>
              <w:keepNext/>
              <w:overflowPunct/>
              <w:autoSpaceDE/>
              <w:autoSpaceDN/>
              <w:adjustRightInd/>
              <w:jc w:val="center"/>
              <w:textAlignment w:val="auto"/>
              <w:rPr>
                <w:rFonts w:ascii="Calibri" w:hAnsi="Calibri"/>
                <w:color w:val="000000"/>
                <w:sz w:val="22"/>
                <w:szCs w:val="22"/>
              </w:rPr>
            </w:pPr>
            <w:r w:rsidRPr="001F1DEB">
              <w:rPr>
                <w:rFonts w:ascii="Calibri" w:hAnsi="Calibri"/>
                <w:color w:val="000000"/>
                <w:sz w:val="22"/>
                <w:szCs w:val="22"/>
              </w:rPr>
              <w:t>Per Simulation</w:t>
            </w:r>
          </w:p>
        </w:tc>
      </w:tr>
      <w:tr w:rsidR="001F1DEB" w:rsidRPr="001F1DEB" w:rsidTr="009E3AA9">
        <w:trPr>
          <w:trHeight w:val="300"/>
          <w:jc w:val="center"/>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rsidR="001F1DEB" w:rsidRPr="001F1DEB" w:rsidRDefault="001F1DEB" w:rsidP="001F1DEB">
            <w:pPr>
              <w:keepNext/>
              <w:overflowPunct/>
              <w:autoSpaceDE/>
              <w:autoSpaceDN/>
              <w:adjustRightInd/>
              <w:jc w:val="center"/>
              <w:textAlignment w:val="auto"/>
              <w:rPr>
                <w:rFonts w:ascii="Calibri" w:hAnsi="Calibri"/>
                <w:color w:val="000000"/>
                <w:sz w:val="22"/>
                <w:szCs w:val="22"/>
              </w:rPr>
            </w:pPr>
            <w:r w:rsidRPr="001F1DEB">
              <w:rPr>
                <w:rFonts w:ascii="Calibri" w:hAnsi="Calibri"/>
                <w:color w:val="000000"/>
                <w:sz w:val="22"/>
                <w:szCs w:val="22"/>
              </w:rPr>
              <w:t>Numpy</w:t>
            </w:r>
          </w:p>
        </w:tc>
        <w:tc>
          <w:tcPr>
            <w:tcW w:w="0" w:type="auto"/>
            <w:tcBorders>
              <w:top w:val="nil"/>
              <w:left w:val="nil"/>
              <w:bottom w:val="single" w:sz="4" w:space="0" w:color="auto"/>
              <w:right w:val="single" w:sz="4" w:space="0" w:color="auto"/>
            </w:tcBorders>
            <w:shd w:val="clear" w:color="auto" w:fill="auto"/>
            <w:noWrap/>
            <w:vAlign w:val="bottom"/>
            <w:hideMark/>
          </w:tcPr>
          <w:p w:rsidR="001F1DEB" w:rsidRPr="001F1DEB" w:rsidRDefault="001F1DEB" w:rsidP="001F1DEB">
            <w:pPr>
              <w:keepNext/>
              <w:overflowPunct/>
              <w:autoSpaceDE/>
              <w:autoSpaceDN/>
              <w:adjustRightInd/>
              <w:jc w:val="center"/>
              <w:textAlignment w:val="auto"/>
              <w:rPr>
                <w:rFonts w:ascii="Calibri" w:hAnsi="Calibri"/>
                <w:color w:val="000000"/>
                <w:sz w:val="22"/>
                <w:szCs w:val="22"/>
              </w:rPr>
            </w:pPr>
            <w:r w:rsidRPr="001F1DEB">
              <w:rPr>
                <w:rFonts w:ascii="Calibri" w:hAnsi="Calibri"/>
                <w:color w:val="000000"/>
                <w:sz w:val="22"/>
                <w:szCs w:val="22"/>
              </w:rPr>
              <w:t>2,408</w:t>
            </w:r>
          </w:p>
        </w:tc>
        <w:tc>
          <w:tcPr>
            <w:tcW w:w="0" w:type="auto"/>
            <w:tcBorders>
              <w:top w:val="nil"/>
              <w:left w:val="nil"/>
              <w:bottom w:val="single" w:sz="4" w:space="0" w:color="auto"/>
              <w:right w:val="single" w:sz="8" w:space="0" w:color="auto"/>
            </w:tcBorders>
            <w:shd w:val="clear" w:color="auto" w:fill="auto"/>
            <w:noWrap/>
            <w:vAlign w:val="bottom"/>
            <w:hideMark/>
          </w:tcPr>
          <w:p w:rsidR="001F1DEB" w:rsidRPr="001F1DEB" w:rsidRDefault="001F1DEB" w:rsidP="001F1DEB">
            <w:pPr>
              <w:keepNext/>
              <w:overflowPunct/>
              <w:autoSpaceDE/>
              <w:autoSpaceDN/>
              <w:adjustRightInd/>
              <w:jc w:val="center"/>
              <w:textAlignment w:val="auto"/>
              <w:rPr>
                <w:rFonts w:ascii="Calibri" w:hAnsi="Calibri"/>
                <w:color w:val="000000"/>
                <w:sz w:val="22"/>
                <w:szCs w:val="22"/>
              </w:rPr>
            </w:pPr>
            <w:r w:rsidRPr="001F1DEB">
              <w:rPr>
                <w:rFonts w:ascii="Calibri" w:hAnsi="Calibri"/>
                <w:color w:val="000000"/>
                <w:sz w:val="22"/>
                <w:szCs w:val="22"/>
              </w:rPr>
              <w:t>0.24</w:t>
            </w:r>
          </w:p>
        </w:tc>
      </w:tr>
      <w:tr w:rsidR="001F1DEB" w:rsidRPr="001F1DEB" w:rsidTr="009E3AA9">
        <w:trPr>
          <w:trHeight w:val="300"/>
          <w:jc w:val="center"/>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rsidR="001F1DEB" w:rsidRPr="001F1DEB" w:rsidRDefault="001F1DEB" w:rsidP="001F1DEB">
            <w:pPr>
              <w:keepNext/>
              <w:overflowPunct/>
              <w:autoSpaceDE/>
              <w:autoSpaceDN/>
              <w:adjustRightInd/>
              <w:jc w:val="center"/>
              <w:textAlignment w:val="auto"/>
              <w:rPr>
                <w:rFonts w:ascii="Calibri" w:hAnsi="Calibri"/>
                <w:color w:val="000000"/>
                <w:sz w:val="22"/>
                <w:szCs w:val="22"/>
              </w:rPr>
            </w:pPr>
            <w:r w:rsidRPr="001F1DEB">
              <w:rPr>
                <w:rFonts w:ascii="Calibri" w:hAnsi="Calibri"/>
                <w:color w:val="000000"/>
                <w:sz w:val="22"/>
                <w:szCs w:val="22"/>
              </w:rPr>
              <w:t>Sobol</w:t>
            </w:r>
          </w:p>
        </w:tc>
        <w:tc>
          <w:tcPr>
            <w:tcW w:w="0" w:type="auto"/>
            <w:tcBorders>
              <w:top w:val="nil"/>
              <w:left w:val="nil"/>
              <w:bottom w:val="single" w:sz="4" w:space="0" w:color="auto"/>
              <w:right w:val="single" w:sz="4" w:space="0" w:color="auto"/>
            </w:tcBorders>
            <w:shd w:val="clear" w:color="auto" w:fill="auto"/>
            <w:noWrap/>
            <w:vAlign w:val="bottom"/>
            <w:hideMark/>
          </w:tcPr>
          <w:p w:rsidR="001F1DEB" w:rsidRPr="001F1DEB" w:rsidRDefault="001F1DEB" w:rsidP="001F1DEB">
            <w:pPr>
              <w:keepNext/>
              <w:overflowPunct/>
              <w:autoSpaceDE/>
              <w:autoSpaceDN/>
              <w:adjustRightInd/>
              <w:jc w:val="center"/>
              <w:textAlignment w:val="auto"/>
              <w:rPr>
                <w:rFonts w:ascii="Calibri" w:hAnsi="Calibri"/>
                <w:color w:val="000000"/>
                <w:sz w:val="22"/>
                <w:szCs w:val="22"/>
              </w:rPr>
            </w:pPr>
            <w:r w:rsidRPr="001F1DEB">
              <w:rPr>
                <w:rFonts w:ascii="Calibri" w:hAnsi="Calibri"/>
                <w:color w:val="000000"/>
                <w:sz w:val="22"/>
                <w:szCs w:val="22"/>
              </w:rPr>
              <w:t>3,779</w:t>
            </w:r>
          </w:p>
        </w:tc>
        <w:tc>
          <w:tcPr>
            <w:tcW w:w="0" w:type="auto"/>
            <w:tcBorders>
              <w:top w:val="nil"/>
              <w:left w:val="nil"/>
              <w:bottom w:val="single" w:sz="4" w:space="0" w:color="auto"/>
              <w:right w:val="single" w:sz="8" w:space="0" w:color="auto"/>
            </w:tcBorders>
            <w:shd w:val="clear" w:color="auto" w:fill="auto"/>
            <w:noWrap/>
            <w:vAlign w:val="bottom"/>
            <w:hideMark/>
          </w:tcPr>
          <w:p w:rsidR="001F1DEB" w:rsidRPr="001F1DEB" w:rsidRDefault="001F1DEB" w:rsidP="001F1DEB">
            <w:pPr>
              <w:keepNext/>
              <w:overflowPunct/>
              <w:autoSpaceDE/>
              <w:autoSpaceDN/>
              <w:adjustRightInd/>
              <w:jc w:val="center"/>
              <w:textAlignment w:val="auto"/>
              <w:rPr>
                <w:rFonts w:ascii="Calibri" w:hAnsi="Calibri"/>
                <w:color w:val="000000"/>
                <w:sz w:val="22"/>
                <w:szCs w:val="22"/>
              </w:rPr>
            </w:pPr>
            <w:r w:rsidRPr="001F1DEB">
              <w:rPr>
                <w:rFonts w:ascii="Calibri" w:hAnsi="Calibri"/>
                <w:color w:val="000000"/>
                <w:sz w:val="22"/>
                <w:szCs w:val="22"/>
              </w:rPr>
              <w:t>0.38</w:t>
            </w:r>
          </w:p>
        </w:tc>
      </w:tr>
      <w:tr w:rsidR="001F1DEB" w:rsidRPr="001F1DEB" w:rsidTr="009E3AA9">
        <w:trPr>
          <w:trHeight w:val="315"/>
          <w:jc w:val="center"/>
        </w:trPr>
        <w:tc>
          <w:tcPr>
            <w:tcW w:w="0" w:type="auto"/>
            <w:tcBorders>
              <w:top w:val="nil"/>
              <w:left w:val="single" w:sz="8" w:space="0" w:color="auto"/>
              <w:bottom w:val="single" w:sz="8" w:space="0" w:color="auto"/>
              <w:right w:val="single" w:sz="4" w:space="0" w:color="auto"/>
            </w:tcBorders>
            <w:shd w:val="clear" w:color="auto" w:fill="auto"/>
            <w:noWrap/>
            <w:vAlign w:val="bottom"/>
            <w:hideMark/>
          </w:tcPr>
          <w:p w:rsidR="001F1DEB" w:rsidRPr="001F1DEB" w:rsidRDefault="001F1DEB" w:rsidP="001F1DEB">
            <w:pPr>
              <w:overflowPunct/>
              <w:autoSpaceDE/>
              <w:autoSpaceDN/>
              <w:adjustRightInd/>
              <w:jc w:val="center"/>
              <w:textAlignment w:val="auto"/>
              <w:rPr>
                <w:rFonts w:ascii="Calibri" w:hAnsi="Calibri"/>
                <w:color w:val="000000"/>
                <w:sz w:val="22"/>
                <w:szCs w:val="22"/>
              </w:rPr>
            </w:pPr>
            <w:r w:rsidRPr="001F1DEB">
              <w:rPr>
                <w:rFonts w:ascii="Calibri" w:hAnsi="Calibri"/>
                <w:color w:val="000000"/>
                <w:sz w:val="22"/>
                <w:szCs w:val="22"/>
              </w:rPr>
              <w:t>Total</w:t>
            </w:r>
          </w:p>
        </w:tc>
        <w:tc>
          <w:tcPr>
            <w:tcW w:w="0" w:type="auto"/>
            <w:tcBorders>
              <w:top w:val="nil"/>
              <w:left w:val="nil"/>
              <w:bottom w:val="single" w:sz="8" w:space="0" w:color="auto"/>
              <w:right w:val="single" w:sz="4" w:space="0" w:color="auto"/>
            </w:tcBorders>
            <w:shd w:val="clear" w:color="auto" w:fill="auto"/>
            <w:noWrap/>
            <w:vAlign w:val="bottom"/>
            <w:hideMark/>
          </w:tcPr>
          <w:p w:rsidR="001F1DEB" w:rsidRPr="001F1DEB" w:rsidRDefault="001F1DEB" w:rsidP="001F1DEB">
            <w:pPr>
              <w:overflowPunct/>
              <w:autoSpaceDE/>
              <w:autoSpaceDN/>
              <w:adjustRightInd/>
              <w:jc w:val="center"/>
              <w:textAlignment w:val="auto"/>
              <w:rPr>
                <w:rFonts w:ascii="Calibri" w:hAnsi="Calibri"/>
                <w:color w:val="000000"/>
                <w:sz w:val="22"/>
                <w:szCs w:val="22"/>
              </w:rPr>
            </w:pPr>
            <w:r w:rsidRPr="001F1DEB">
              <w:rPr>
                <w:rFonts w:ascii="Calibri" w:hAnsi="Calibri"/>
                <w:color w:val="000000"/>
                <w:sz w:val="22"/>
                <w:szCs w:val="22"/>
              </w:rPr>
              <w:t>6,186</w:t>
            </w:r>
          </w:p>
        </w:tc>
        <w:tc>
          <w:tcPr>
            <w:tcW w:w="0" w:type="auto"/>
            <w:tcBorders>
              <w:top w:val="nil"/>
              <w:left w:val="nil"/>
              <w:bottom w:val="single" w:sz="8" w:space="0" w:color="auto"/>
              <w:right w:val="single" w:sz="8" w:space="0" w:color="auto"/>
            </w:tcBorders>
            <w:shd w:val="clear" w:color="auto" w:fill="auto"/>
            <w:noWrap/>
            <w:vAlign w:val="bottom"/>
            <w:hideMark/>
          </w:tcPr>
          <w:p w:rsidR="001F1DEB" w:rsidRPr="001F1DEB" w:rsidRDefault="001F1DEB" w:rsidP="001F1DEB">
            <w:pPr>
              <w:overflowPunct/>
              <w:autoSpaceDE/>
              <w:autoSpaceDN/>
              <w:adjustRightInd/>
              <w:jc w:val="center"/>
              <w:textAlignment w:val="auto"/>
              <w:rPr>
                <w:rFonts w:ascii="Calibri" w:hAnsi="Calibri"/>
                <w:color w:val="000000"/>
                <w:sz w:val="22"/>
                <w:szCs w:val="22"/>
              </w:rPr>
            </w:pPr>
            <w:r w:rsidRPr="001F1DEB">
              <w:rPr>
                <w:rFonts w:ascii="Calibri" w:hAnsi="Calibri"/>
                <w:color w:val="000000"/>
                <w:sz w:val="22"/>
                <w:szCs w:val="22"/>
              </w:rPr>
              <w:t>0.62</w:t>
            </w:r>
          </w:p>
        </w:tc>
      </w:tr>
    </w:tbl>
    <w:p w:rsidR="00AA10B7" w:rsidRPr="00AA10B7" w:rsidRDefault="00AA10B7" w:rsidP="00AA10B7">
      <w:pPr>
        <w:pStyle w:val="text"/>
      </w:pPr>
      <w:r>
        <w:t>Again, it is worth noting that the Sobol implementation was conducted in the Python language whereas the Numpy implementation was coded in the lower and more computationally efficient language, C, and wrapped in Python for ease of use.  Assuming both implementations had used the same language, Sobol would likely have had a faster computation time while still retaining a faster rate of convergence.</w:t>
      </w:r>
    </w:p>
    <w:p w:rsidR="00B727CD" w:rsidRDefault="00B727CD" w:rsidP="00EC4DA3">
      <w:pPr>
        <w:pStyle w:val="Heading1"/>
      </w:pPr>
      <w:bookmarkStart w:id="28" w:name="_Toc408844293"/>
      <w:r>
        <w:t>Pricing</w:t>
      </w:r>
      <w:bookmarkEnd w:id="28"/>
    </w:p>
    <w:p w:rsidR="004F2F48" w:rsidRDefault="004F2F48" w:rsidP="004F2F48">
      <w:pPr>
        <w:pStyle w:val="Heading3"/>
      </w:pPr>
      <w:bookmarkStart w:id="29" w:name="_Toc408844294"/>
      <w:r>
        <w:t>Caps and Floors</w:t>
      </w:r>
      <w:bookmarkEnd w:id="29"/>
    </w:p>
    <w:p w:rsidR="004F2F48" w:rsidRDefault="004F2F48" w:rsidP="005F01BE">
      <w:pPr>
        <w:pStyle w:val="text"/>
      </w:pPr>
      <w:r>
        <w:t>Pricing was conducted for caplets, floorlets across a range of expiries and strikes</w:t>
      </w:r>
      <w:r w:rsidR="005F01BE">
        <w:t xml:space="preserve"> on the 1 month rate</w:t>
      </w:r>
      <w:r>
        <w:t>.  All caplets and floorlets had a maturity</w:t>
      </w:r>
      <w:r w:rsidR="005F01BE">
        <w:t xml:space="preserve"> of 1 year following expiration and p</w:t>
      </w:r>
      <w:r>
        <w:t>rices were calculated by taking average values across all simulations.</w:t>
      </w:r>
      <w:r w:rsidR="005F01BE">
        <w:t xml:space="preserve">  </w:t>
      </w:r>
      <w:r>
        <w:t xml:space="preserve">The figures below plot </w:t>
      </w:r>
      <w:r w:rsidR="00DC370C">
        <w:t xml:space="preserve">caplet and floorlet </w:t>
      </w:r>
      <w:r>
        <w:t>prices by strike (or “moneyness”)</w:t>
      </w:r>
      <w:r w:rsidR="00DC370C">
        <w:t xml:space="preserve"> for each of 2, 5, and 10 year expiries.</w:t>
      </w:r>
      <w:r w:rsidR="005F01BE">
        <w:t xml:space="preserve">  The short term rate as of the time of the pricing was 0.52%</w:t>
      </w:r>
      <w:r w:rsidR="005D2C93">
        <w:t xml:space="preserve"> (0.005 on the scale below)</w:t>
      </w:r>
      <w:r w:rsidR="005F01BE">
        <w:t>.</w:t>
      </w:r>
    </w:p>
    <w:p w:rsidR="00682B82" w:rsidRDefault="0007723D" w:rsidP="00682B82">
      <w:pPr>
        <w:pStyle w:val="Heading8"/>
        <w:keepNext/>
        <w:ind w:left="0" w:firstLine="0"/>
      </w:pPr>
      <w:bookmarkStart w:id="30" w:name="_Toc408743824"/>
      <w:r>
        <w:lastRenderedPageBreak/>
        <w:t>Figure 23</w:t>
      </w:r>
      <w:r w:rsidR="00682B82">
        <w:t xml:space="preserve">: Numpy Caplet Pricing at various </w:t>
      </w:r>
      <w:bookmarkEnd w:id="30"/>
      <w:r w:rsidR="00BE139A">
        <w:t>Strikes</w:t>
      </w:r>
    </w:p>
    <w:p w:rsidR="00682B82" w:rsidRDefault="00682B82" w:rsidP="00E85E79">
      <w:pPr>
        <w:pStyle w:val="text"/>
        <w:jc w:val="center"/>
      </w:pPr>
      <w:r>
        <w:rPr>
          <w:noProof/>
        </w:rPr>
        <w:drawing>
          <wp:inline distT="0" distB="0" distL="0" distR="0">
            <wp:extent cx="3896613" cy="2677135"/>
            <wp:effectExtent l="19050" t="19050" r="27687" b="27965"/>
            <wp:docPr id="19" name="Picture 17" descr="C:\Users\Greg\Google Drive\Education\CQF\June 2014\Final Project\figures\caplet_payoff_num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reg\Google Drive\Education\CQF\June 2014\Final Project\figures\caplet_payoff_numpy.png"/>
                    <pic:cNvPicPr>
                      <a:picLocks noChangeAspect="1" noChangeArrowheads="1"/>
                    </pic:cNvPicPr>
                  </pic:nvPicPr>
                  <pic:blipFill>
                    <a:blip r:embed="rId30" cstate="print"/>
                    <a:srcRect/>
                    <a:stretch>
                      <a:fillRect/>
                    </a:stretch>
                  </pic:blipFill>
                  <pic:spPr bwMode="auto">
                    <a:xfrm>
                      <a:off x="0" y="0"/>
                      <a:ext cx="3896613" cy="2677135"/>
                    </a:xfrm>
                    <a:prstGeom prst="rect">
                      <a:avLst/>
                    </a:prstGeom>
                    <a:noFill/>
                    <a:ln w="9525">
                      <a:solidFill>
                        <a:schemeClr val="tx1"/>
                      </a:solidFill>
                      <a:miter lim="800000"/>
                      <a:headEnd/>
                      <a:tailEnd/>
                    </a:ln>
                  </pic:spPr>
                </pic:pic>
              </a:graphicData>
            </a:graphic>
          </wp:inline>
        </w:drawing>
      </w:r>
    </w:p>
    <w:p w:rsidR="00E85E79" w:rsidRDefault="0007723D" w:rsidP="00E85E79">
      <w:pPr>
        <w:pStyle w:val="Heading8"/>
        <w:keepNext/>
        <w:ind w:left="0" w:firstLine="0"/>
      </w:pPr>
      <w:bookmarkStart w:id="31" w:name="_Toc408743825"/>
      <w:r>
        <w:t>Figure 24</w:t>
      </w:r>
      <w:r w:rsidR="00E85E79">
        <w:t xml:space="preserve">: Numpy </w:t>
      </w:r>
      <w:r w:rsidR="00BE139A">
        <w:t>Floorlet</w:t>
      </w:r>
      <w:r w:rsidR="00E85E79">
        <w:t xml:space="preserve"> Pricing at various </w:t>
      </w:r>
      <w:bookmarkEnd w:id="31"/>
      <w:r w:rsidR="00BE139A">
        <w:t>Strikes</w:t>
      </w:r>
    </w:p>
    <w:p w:rsidR="00E85E79" w:rsidRDefault="00E85E79" w:rsidP="00E85E79">
      <w:pPr>
        <w:pStyle w:val="text"/>
        <w:jc w:val="center"/>
      </w:pPr>
      <w:r>
        <w:rPr>
          <w:noProof/>
        </w:rPr>
        <w:drawing>
          <wp:inline distT="0" distB="0" distL="0" distR="0">
            <wp:extent cx="3896613" cy="2677135"/>
            <wp:effectExtent l="19050" t="19050" r="27687" b="27965"/>
            <wp:docPr id="21" name="Picture 19" descr="C:\Users\Greg\Google Drive\Education\CQF\June 2014\Final Project\figures\floorlet_payoff_num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reg\Google Drive\Education\CQF\June 2014\Final Project\figures\floorlet_payoff_numpy.png"/>
                    <pic:cNvPicPr>
                      <a:picLocks noChangeAspect="1" noChangeArrowheads="1"/>
                    </pic:cNvPicPr>
                  </pic:nvPicPr>
                  <pic:blipFill>
                    <a:blip r:embed="rId31" cstate="print"/>
                    <a:srcRect/>
                    <a:stretch>
                      <a:fillRect/>
                    </a:stretch>
                  </pic:blipFill>
                  <pic:spPr bwMode="auto">
                    <a:xfrm>
                      <a:off x="0" y="0"/>
                      <a:ext cx="3896613" cy="2677135"/>
                    </a:xfrm>
                    <a:prstGeom prst="rect">
                      <a:avLst/>
                    </a:prstGeom>
                    <a:noFill/>
                    <a:ln w="9525">
                      <a:solidFill>
                        <a:schemeClr val="tx1"/>
                      </a:solidFill>
                      <a:miter lim="800000"/>
                      <a:headEnd/>
                      <a:tailEnd/>
                    </a:ln>
                  </pic:spPr>
                </pic:pic>
              </a:graphicData>
            </a:graphic>
          </wp:inline>
        </w:drawing>
      </w:r>
    </w:p>
    <w:p w:rsidR="00E85E79" w:rsidRDefault="00E85E79" w:rsidP="00B727CD">
      <w:pPr>
        <w:pStyle w:val="text"/>
      </w:pPr>
    </w:p>
    <w:p w:rsidR="00547C7D" w:rsidRDefault="0007723D" w:rsidP="00547C7D">
      <w:pPr>
        <w:pStyle w:val="Heading8"/>
        <w:keepNext/>
        <w:ind w:left="0" w:firstLine="0"/>
      </w:pPr>
      <w:bookmarkStart w:id="32" w:name="_Toc408743826"/>
      <w:r>
        <w:lastRenderedPageBreak/>
        <w:t>Figure 25</w:t>
      </w:r>
      <w:r w:rsidR="00547C7D">
        <w:t xml:space="preserve">: Sobol Caplet Pricing </w:t>
      </w:r>
      <w:bookmarkEnd w:id="32"/>
      <w:r w:rsidR="00112592">
        <w:t>by Strike</w:t>
      </w:r>
    </w:p>
    <w:p w:rsidR="00547C7D" w:rsidRDefault="00547C7D" w:rsidP="00E85E79">
      <w:pPr>
        <w:pStyle w:val="text"/>
        <w:jc w:val="center"/>
      </w:pPr>
      <w:r>
        <w:rPr>
          <w:noProof/>
        </w:rPr>
        <w:drawing>
          <wp:inline distT="0" distB="0" distL="0" distR="0">
            <wp:extent cx="3896613" cy="2677135"/>
            <wp:effectExtent l="19050" t="19050" r="27687" b="27965"/>
            <wp:docPr id="20" name="Picture 18" descr="C:\Users\Greg\Google Drive\Education\CQF\June 2014\Final Project\figures\caplet_payoff_so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reg\Google Drive\Education\CQF\June 2014\Final Project\figures\caplet_payoff_sobol.png"/>
                    <pic:cNvPicPr>
                      <a:picLocks noChangeAspect="1" noChangeArrowheads="1"/>
                    </pic:cNvPicPr>
                  </pic:nvPicPr>
                  <pic:blipFill>
                    <a:blip r:embed="rId32" cstate="print"/>
                    <a:srcRect/>
                    <a:stretch>
                      <a:fillRect/>
                    </a:stretch>
                  </pic:blipFill>
                  <pic:spPr bwMode="auto">
                    <a:xfrm>
                      <a:off x="0" y="0"/>
                      <a:ext cx="3896613" cy="2677135"/>
                    </a:xfrm>
                    <a:prstGeom prst="rect">
                      <a:avLst/>
                    </a:prstGeom>
                    <a:noFill/>
                    <a:ln w="9525">
                      <a:solidFill>
                        <a:schemeClr val="tx1"/>
                      </a:solidFill>
                      <a:miter lim="800000"/>
                      <a:headEnd/>
                      <a:tailEnd/>
                    </a:ln>
                  </pic:spPr>
                </pic:pic>
              </a:graphicData>
            </a:graphic>
          </wp:inline>
        </w:drawing>
      </w:r>
    </w:p>
    <w:p w:rsidR="00E85E79" w:rsidRDefault="0007723D" w:rsidP="00E85E79">
      <w:pPr>
        <w:pStyle w:val="Heading8"/>
        <w:keepNext/>
        <w:ind w:left="0" w:firstLine="0"/>
      </w:pPr>
      <w:bookmarkStart w:id="33" w:name="_Toc408743827"/>
      <w:r>
        <w:t>Figure 26</w:t>
      </w:r>
      <w:r w:rsidR="00112592">
        <w:t>: Sobol Floorlet</w:t>
      </w:r>
      <w:r w:rsidR="00E85E79">
        <w:t xml:space="preserve"> Pricing </w:t>
      </w:r>
      <w:bookmarkEnd w:id="33"/>
      <w:r w:rsidR="00112592">
        <w:t>by Strike</w:t>
      </w:r>
    </w:p>
    <w:p w:rsidR="00E85E79" w:rsidRDefault="00E85E79" w:rsidP="00E85E79">
      <w:pPr>
        <w:pStyle w:val="text"/>
        <w:jc w:val="center"/>
      </w:pPr>
      <w:r>
        <w:rPr>
          <w:noProof/>
        </w:rPr>
        <w:drawing>
          <wp:inline distT="0" distB="0" distL="0" distR="0">
            <wp:extent cx="3896613" cy="2677135"/>
            <wp:effectExtent l="19050" t="19050" r="27687" b="27965"/>
            <wp:docPr id="22" name="Picture 20" descr="C:\Users\Greg\Google Drive\Education\CQF\June 2014\Final Project\figures\floorlet_payoff_so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reg\Google Drive\Education\CQF\June 2014\Final Project\figures\floorlet_payoff_sobol.png"/>
                    <pic:cNvPicPr>
                      <a:picLocks noChangeAspect="1" noChangeArrowheads="1"/>
                    </pic:cNvPicPr>
                  </pic:nvPicPr>
                  <pic:blipFill>
                    <a:blip r:embed="rId33" cstate="print"/>
                    <a:srcRect/>
                    <a:stretch>
                      <a:fillRect/>
                    </a:stretch>
                  </pic:blipFill>
                  <pic:spPr bwMode="auto">
                    <a:xfrm>
                      <a:off x="0" y="0"/>
                      <a:ext cx="3896613" cy="2677135"/>
                    </a:xfrm>
                    <a:prstGeom prst="rect">
                      <a:avLst/>
                    </a:prstGeom>
                    <a:noFill/>
                    <a:ln w="9525">
                      <a:solidFill>
                        <a:schemeClr val="tx1"/>
                      </a:solidFill>
                      <a:miter lim="800000"/>
                      <a:headEnd/>
                      <a:tailEnd/>
                    </a:ln>
                  </pic:spPr>
                </pic:pic>
              </a:graphicData>
            </a:graphic>
          </wp:inline>
        </w:drawing>
      </w:r>
    </w:p>
    <w:p w:rsidR="005F01BE" w:rsidRDefault="005F01BE" w:rsidP="005F01BE">
      <w:pPr>
        <w:pStyle w:val="text"/>
      </w:pPr>
      <w:r>
        <w:t xml:space="preserve">The payoff diagrams clearly depict that Sobol is </w:t>
      </w:r>
      <w:r w:rsidR="005C2FEC">
        <w:t xml:space="preserve">more </w:t>
      </w:r>
      <w:r w:rsidR="005D2C93">
        <w:t>consistent at arriving at a price</w:t>
      </w:r>
      <w:r w:rsidR="005C2FEC">
        <w:t xml:space="preserve"> as is apparent by the rapid ch</w:t>
      </w:r>
      <w:r w:rsidR="005D2C93">
        <w:t>ange in delta where the simulated</w:t>
      </w:r>
      <w:r w:rsidR="005C2FEC">
        <w:t xml:space="preserve"> rate crosses the strike.  In other words, it is easy to see from the Sobol payoff diagrams that the simulated 1 month forward rate is</w:t>
      </w:r>
      <w:r w:rsidR="005D2C93">
        <w:t xml:space="preserve"> consistently</w:t>
      </w:r>
      <w:r w:rsidR="005C2FEC">
        <w:t xml:space="preserve"> at 1.5% at year two, 2.25% at year five, and 2.75% at year ten as these are the point at which the delta rapidly changes from zero to one.  </w:t>
      </w:r>
      <w:r w:rsidR="005C2FEC">
        <w:lastRenderedPageBreak/>
        <w:t xml:space="preserve">Numpy has more gradual </w:t>
      </w:r>
      <w:r w:rsidR="005D2C93">
        <w:t>change</w:t>
      </w:r>
      <w:r w:rsidR="005C2FEC">
        <w:t xml:space="preserve"> in delta due to the greater degree of variance over all simulations.</w:t>
      </w:r>
    </w:p>
    <w:p w:rsidR="00740D09" w:rsidRDefault="005C2FEC" w:rsidP="00121BF9">
      <w:pPr>
        <w:pStyle w:val="text"/>
      </w:pPr>
      <w:r>
        <w:t xml:space="preserve">It can also be observed that there is clearly a gradual trend for the 1 month forward rate to increase overtime for both simulations.  This is evident from the </w:t>
      </w:r>
      <w:r w:rsidR="005D2C93">
        <w:t>“</w:t>
      </w:r>
      <w:r w:rsidR="001C6FCD">
        <w:t>shifting</w:t>
      </w:r>
      <w:r w:rsidR="005D2C93">
        <w:t>”</w:t>
      </w:r>
      <w:r w:rsidR="001C6FCD">
        <w:t xml:space="preserve"> of the payoff diagrams from lower strikes to higher strikes with an increase in expiry.  As mentioned earlier, there is likely more than one contributing factor leading to the increase in short term forward rates over the simulation period.  Namely, </w:t>
      </w:r>
      <w:r w:rsidR="00121BF9">
        <w:t>the impact that the forward rate derivative has on a steep rate curve and the impact of the second volatility function representing the skew.</w:t>
      </w:r>
    </w:p>
    <w:p w:rsidR="00A65570" w:rsidRDefault="00A65570" w:rsidP="00A65570">
      <w:pPr>
        <w:pStyle w:val="Heading3"/>
      </w:pPr>
      <w:bookmarkStart w:id="34" w:name="_Toc408844295"/>
      <w:r>
        <w:t>Implied Volatility</w:t>
      </w:r>
      <w:bookmarkEnd w:id="34"/>
    </w:p>
    <w:p w:rsidR="00740D09" w:rsidRDefault="005D2C93" w:rsidP="00C56819">
      <w:pPr>
        <w:pStyle w:val="text"/>
      </w:pPr>
      <w:r>
        <w:t xml:space="preserve">Implied volatilities were calculated on the Black formula using the </w:t>
      </w:r>
      <w:r w:rsidR="00A65570">
        <w:t>bisection method.</w:t>
      </w:r>
      <w:r w:rsidR="00C56819">
        <w:t xml:space="preserve">  The figures below show the volatility surfaces for the same caplets and floorlets by strike and maturity.</w:t>
      </w:r>
    </w:p>
    <w:p w:rsidR="00AB18B7" w:rsidRDefault="0007723D" w:rsidP="00AB18B7">
      <w:pPr>
        <w:pStyle w:val="text"/>
        <w:keepNext/>
        <w:jc w:val="center"/>
      </w:pPr>
      <w:r>
        <w:lastRenderedPageBreak/>
        <w:t>Figure 27</w:t>
      </w:r>
      <w:r w:rsidR="00740D09">
        <w:t>: Numpy Caplet Volatility Surface</w:t>
      </w:r>
    </w:p>
    <w:p w:rsidR="00740D09" w:rsidRDefault="00740D09" w:rsidP="00164A16">
      <w:pPr>
        <w:pStyle w:val="text"/>
        <w:keepNext/>
        <w:jc w:val="center"/>
      </w:pPr>
      <w:r>
        <w:rPr>
          <w:noProof/>
        </w:rPr>
        <w:drawing>
          <wp:inline distT="0" distB="0" distL="0" distR="0">
            <wp:extent cx="4249118" cy="2877206"/>
            <wp:effectExtent l="19050" t="19050" r="18082" b="18394"/>
            <wp:docPr id="23" name="Picture 21" descr="C:\Users\Greg\Google Drive\Education\CQF\June 2014\Final Project\figures\caplet_implied_volatility_num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reg\Google Drive\Education\CQF\June 2014\Final Project\figures\caplet_implied_volatility_numpy.png"/>
                    <pic:cNvPicPr>
                      <a:picLocks noChangeAspect="1" noChangeArrowheads="1"/>
                    </pic:cNvPicPr>
                  </pic:nvPicPr>
                  <pic:blipFill>
                    <a:blip r:embed="rId34" cstate="print"/>
                    <a:srcRect/>
                    <a:stretch>
                      <a:fillRect/>
                    </a:stretch>
                  </pic:blipFill>
                  <pic:spPr bwMode="auto">
                    <a:xfrm>
                      <a:off x="0" y="0"/>
                      <a:ext cx="4249118" cy="2877206"/>
                    </a:xfrm>
                    <a:prstGeom prst="rect">
                      <a:avLst/>
                    </a:prstGeom>
                    <a:noFill/>
                    <a:ln w="9525">
                      <a:solidFill>
                        <a:schemeClr val="tx1"/>
                      </a:solidFill>
                      <a:miter lim="800000"/>
                      <a:headEnd/>
                      <a:tailEnd/>
                    </a:ln>
                  </pic:spPr>
                </pic:pic>
              </a:graphicData>
            </a:graphic>
          </wp:inline>
        </w:drawing>
      </w:r>
    </w:p>
    <w:p w:rsidR="00740D09" w:rsidRDefault="0007723D" w:rsidP="00AB18B7">
      <w:pPr>
        <w:pStyle w:val="text"/>
        <w:keepNext/>
        <w:jc w:val="center"/>
      </w:pPr>
      <w:r>
        <w:t>Figure 28</w:t>
      </w:r>
      <w:r w:rsidR="00740D09">
        <w:t>: Sobol Caplet Volatility Surface</w:t>
      </w:r>
    </w:p>
    <w:p w:rsidR="00740D09" w:rsidRDefault="00740D09" w:rsidP="00E85E79">
      <w:pPr>
        <w:pStyle w:val="text"/>
        <w:jc w:val="center"/>
      </w:pPr>
      <w:r>
        <w:rPr>
          <w:noProof/>
        </w:rPr>
        <w:drawing>
          <wp:inline distT="0" distB="0" distL="0" distR="0">
            <wp:extent cx="4249118" cy="2877206"/>
            <wp:effectExtent l="19050" t="19050" r="18082" b="18394"/>
            <wp:docPr id="24" name="Picture 22" descr="C:\Users\Greg\Google Drive\Education\CQF\June 2014\Final Project\figures\caplet_implied_volatility_so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reg\Google Drive\Education\CQF\June 2014\Final Project\figures\caplet_implied_volatility_sobol.png"/>
                    <pic:cNvPicPr>
                      <a:picLocks noChangeAspect="1" noChangeArrowheads="1"/>
                    </pic:cNvPicPr>
                  </pic:nvPicPr>
                  <pic:blipFill>
                    <a:blip r:embed="rId35" cstate="print"/>
                    <a:srcRect/>
                    <a:stretch>
                      <a:fillRect/>
                    </a:stretch>
                  </pic:blipFill>
                  <pic:spPr bwMode="auto">
                    <a:xfrm>
                      <a:off x="0" y="0"/>
                      <a:ext cx="4249118" cy="2877206"/>
                    </a:xfrm>
                    <a:prstGeom prst="rect">
                      <a:avLst/>
                    </a:prstGeom>
                    <a:noFill/>
                    <a:ln w="9525">
                      <a:solidFill>
                        <a:schemeClr val="tx1"/>
                      </a:solidFill>
                      <a:miter lim="800000"/>
                      <a:headEnd/>
                      <a:tailEnd/>
                    </a:ln>
                  </pic:spPr>
                </pic:pic>
              </a:graphicData>
            </a:graphic>
          </wp:inline>
        </w:drawing>
      </w:r>
    </w:p>
    <w:p w:rsidR="00715B99" w:rsidRDefault="00715B99" w:rsidP="00E85E79">
      <w:pPr>
        <w:pStyle w:val="text"/>
        <w:jc w:val="center"/>
      </w:pPr>
    </w:p>
    <w:p w:rsidR="00715B99" w:rsidRDefault="0007723D" w:rsidP="00E667BC">
      <w:pPr>
        <w:pStyle w:val="text"/>
        <w:keepNext/>
        <w:jc w:val="center"/>
      </w:pPr>
      <w:r>
        <w:lastRenderedPageBreak/>
        <w:t>Figure 29</w:t>
      </w:r>
      <w:r w:rsidR="00715B99">
        <w:t>: Numpy Floorlet Volatility Surface</w:t>
      </w:r>
    </w:p>
    <w:p w:rsidR="00715B99" w:rsidRDefault="00715B99" w:rsidP="00E85E79">
      <w:pPr>
        <w:pStyle w:val="text"/>
        <w:jc w:val="center"/>
      </w:pPr>
      <w:r>
        <w:rPr>
          <w:noProof/>
        </w:rPr>
        <w:drawing>
          <wp:inline distT="0" distB="0" distL="0" distR="0">
            <wp:extent cx="4249118" cy="2877206"/>
            <wp:effectExtent l="19050" t="19050" r="18082" b="18394"/>
            <wp:docPr id="25" name="Picture 23" descr="C:\Users\Greg\Google Drive\Education\CQF\June 2014\Final Project\figures\floorlet_implied_volatility_num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reg\Google Drive\Education\CQF\June 2014\Final Project\figures\floorlet_implied_volatility_numpy.png"/>
                    <pic:cNvPicPr>
                      <a:picLocks noChangeAspect="1" noChangeArrowheads="1"/>
                    </pic:cNvPicPr>
                  </pic:nvPicPr>
                  <pic:blipFill>
                    <a:blip r:embed="rId36" cstate="print"/>
                    <a:srcRect/>
                    <a:stretch>
                      <a:fillRect/>
                    </a:stretch>
                  </pic:blipFill>
                  <pic:spPr bwMode="auto">
                    <a:xfrm>
                      <a:off x="0" y="0"/>
                      <a:ext cx="4249118" cy="2877206"/>
                    </a:xfrm>
                    <a:prstGeom prst="rect">
                      <a:avLst/>
                    </a:prstGeom>
                    <a:noFill/>
                    <a:ln w="9525">
                      <a:solidFill>
                        <a:schemeClr val="tx1"/>
                      </a:solidFill>
                      <a:miter lim="800000"/>
                      <a:headEnd/>
                      <a:tailEnd/>
                    </a:ln>
                  </pic:spPr>
                </pic:pic>
              </a:graphicData>
            </a:graphic>
          </wp:inline>
        </w:drawing>
      </w:r>
    </w:p>
    <w:p w:rsidR="00715B99" w:rsidRDefault="00715B99" w:rsidP="00E85E79">
      <w:pPr>
        <w:pStyle w:val="text"/>
        <w:jc w:val="center"/>
      </w:pPr>
    </w:p>
    <w:p w:rsidR="00715B99" w:rsidRDefault="0007723D" w:rsidP="00E667BC">
      <w:pPr>
        <w:pStyle w:val="text"/>
        <w:keepNext/>
        <w:jc w:val="center"/>
      </w:pPr>
      <w:r>
        <w:t>Figure 30</w:t>
      </w:r>
      <w:r w:rsidR="00715B99">
        <w:t>: Sobol Floorlet Volatility Surface</w:t>
      </w:r>
    </w:p>
    <w:p w:rsidR="00715B99" w:rsidRDefault="00715B99" w:rsidP="00E85E79">
      <w:pPr>
        <w:pStyle w:val="text"/>
        <w:jc w:val="center"/>
      </w:pPr>
      <w:r>
        <w:rPr>
          <w:noProof/>
        </w:rPr>
        <w:drawing>
          <wp:inline distT="0" distB="0" distL="0" distR="0">
            <wp:extent cx="4249118" cy="2877206"/>
            <wp:effectExtent l="19050" t="19050" r="18082" b="18394"/>
            <wp:docPr id="26" name="Picture 24" descr="C:\Users\Greg\Google Drive\Education\CQF\June 2014\Final Project\figures\floorlet_implied_volatility_so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reg\Google Drive\Education\CQF\June 2014\Final Project\figures\floorlet_implied_volatility_sobol.png"/>
                    <pic:cNvPicPr>
                      <a:picLocks noChangeAspect="1" noChangeArrowheads="1"/>
                    </pic:cNvPicPr>
                  </pic:nvPicPr>
                  <pic:blipFill>
                    <a:blip r:embed="rId37" cstate="print"/>
                    <a:srcRect/>
                    <a:stretch>
                      <a:fillRect/>
                    </a:stretch>
                  </pic:blipFill>
                  <pic:spPr bwMode="auto">
                    <a:xfrm>
                      <a:off x="0" y="0"/>
                      <a:ext cx="4249118" cy="2877206"/>
                    </a:xfrm>
                    <a:prstGeom prst="rect">
                      <a:avLst/>
                    </a:prstGeom>
                    <a:noFill/>
                    <a:ln w="9525">
                      <a:solidFill>
                        <a:schemeClr val="tx1"/>
                      </a:solidFill>
                      <a:miter lim="800000"/>
                      <a:headEnd/>
                      <a:tailEnd/>
                    </a:ln>
                  </pic:spPr>
                </pic:pic>
              </a:graphicData>
            </a:graphic>
          </wp:inline>
        </w:drawing>
      </w:r>
    </w:p>
    <w:p w:rsidR="00E667BC" w:rsidRDefault="00327697" w:rsidP="00E667BC">
      <w:pPr>
        <w:pStyle w:val="text"/>
      </w:pPr>
      <w:r>
        <w:t xml:space="preserve">The volatility surfaces of the Sobol implementation demonstrate much less variance in pricing as compared to the Numpy implementation as is evident by a lack of a </w:t>
      </w:r>
      <w:r>
        <w:lastRenderedPageBreak/>
        <w:t>volatility estimate where caplet and floorlet prices were consistently zero over all simulations.</w:t>
      </w:r>
      <w:r w:rsidR="00D102A9">
        <w:t xml:space="preserve">  The Numpy implementation, on the other hand, demonstrates some degree of a volatility smile – particularly for floorlets.</w:t>
      </w:r>
      <w:r w:rsidR="0001236B">
        <w:t xml:space="preserve">  This result can be attributed to the greater variance in paths for the short term forward rate over the course of the Numpy simulation. </w:t>
      </w:r>
    </w:p>
    <w:p w:rsidR="00E667BC" w:rsidRDefault="00327697" w:rsidP="001E1DE2">
      <w:pPr>
        <w:pStyle w:val="text"/>
      </w:pPr>
      <w:r>
        <w:t>Both Numpy and Sobol exhibit increasing implied volatility for caplets of increasing maturities across all strikes.  For f</w:t>
      </w:r>
      <w:r w:rsidR="001E1DE2">
        <w:t xml:space="preserve">loorlets the opposite is true – </w:t>
      </w:r>
      <w:r>
        <w:t xml:space="preserve">implied volatility is generally lower for longer dated maturities.  </w:t>
      </w:r>
      <w:r w:rsidR="00E45112">
        <w:t>This behavior is consistent with the general trend of increasing short term rates over the simulation period for both Numpy and Sobol.</w:t>
      </w:r>
    </w:p>
    <w:p w:rsidR="00E667BC" w:rsidRDefault="00E667BC" w:rsidP="00E667BC">
      <w:pPr>
        <w:pStyle w:val="Heading3"/>
      </w:pPr>
      <w:bookmarkStart w:id="35" w:name="_Toc408844296"/>
      <w:proofErr w:type="spellStart"/>
      <w:r>
        <w:t>Vasicek</w:t>
      </w:r>
      <w:proofErr w:type="spellEnd"/>
      <w:r>
        <w:t xml:space="preserve"> Model</w:t>
      </w:r>
      <w:bookmarkEnd w:id="35"/>
    </w:p>
    <w:p w:rsidR="00D17CF9" w:rsidRDefault="005747EA" w:rsidP="005747EA">
      <w:pPr>
        <w:pStyle w:val="text"/>
      </w:pPr>
      <w:r>
        <w:t xml:space="preserve">Zero-coupon bond prices from the HJM model were compared with those derived from the closed-form solution of a calibrated </w:t>
      </w:r>
      <w:proofErr w:type="spellStart"/>
      <w:r>
        <w:t>Vasicek</w:t>
      </w:r>
      <w:proofErr w:type="spellEnd"/>
      <w:r>
        <w:t xml:space="preserve"> mode</w:t>
      </w:r>
      <w:r w:rsidR="00D17CF9">
        <w:t>l:</w:t>
      </w:r>
    </w:p>
    <w:p w:rsidR="00D17CF9" w:rsidRDefault="00D17CF9" w:rsidP="00D17CF9">
      <w:pPr>
        <w:pStyle w:val="text"/>
      </w:pPr>
      <m:oMathPara>
        <m:oMath>
          <m:r>
            <w:rPr>
              <w:rFonts w:ascii="Cambria Math" w:hAnsi="Cambria Math"/>
            </w:rPr>
            <m:t>dr=λ</m:t>
          </m:r>
          <m:d>
            <m:dPr>
              <m:ctrlPr>
                <w:rPr>
                  <w:rFonts w:ascii="Cambria Math" w:hAnsi="Cambria Math"/>
                  <w:i/>
                </w:rPr>
              </m:ctrlPr>
            </m:dPr>
            <m:e>
              <m:r>
                <w:rPr>
                  <w:rFonts w:ascii="Cambria Math" w:hAnsi="Cambria Math"/>
                </w:rPr>
                <m:t>μ-r</m:t>
              </m:r>
            </m:e>
          </m:d>
          <m:r>
            <w:rPr>
              <w:rFonts w:ascii="Cambria Math" w:hAnsi="Cambria Math"/>
            </w:rPr>
            <m:t>dt+σd</m:t>
          </m:r>
          <m:sSub>
            <m:sSubPr>
              <m:ctrlPr>
                <w:rPr>
                  <w:rFonts w:ascii="Cambria Math" w:hAnsi="Cambria Math"/>
                  <w:i/>
                </w:rPr>
              </m:ctrlPr>
            </m:sSubPr>
            <m:e>
              <m:r>
                <w:rPr>
                  <w:rFonts w:ascii="Cambria Math" w:hAnsi="Cambria Math"/>
                </w:rPr>
                <m:t>W</m:t>
              </m:r>
            </m:e>
            <m:sub>
              <m:r>
                <w:rPr>
                  <w:rFonts w:ascii="Cambria Math" w:hAnsi="Cambria Math"/>
                </w:rPr>
                <m:t>t</m:t>
              </m:r>
            </m:sub>
          </m:sSub>
        </m:oMath>
      </m:oMathPara>
    </w:p>
    <w:p w:rsidR="005747EA" w:rsidRDefault="005747EA" w:rsidP="005747EA">
      <w:pPr>
        <w:pStyle w:val="text"/>
      </w:pPr>
      <w:r>
        <w:t xml:space="preserve">The same </w:t>
      </w:r>
      <w:proofErr w:type="gramStart"/>
      <w:r>
        <w:t>history of short term rates were</w:t>
      </w:r>
      <w:proofErr w:type="gramEnd"/>
      <w:r>
        <w:t xml:space="preserve"> used in the calibration – January 2012 to December 2013.  The histogram below shows that the short term forward rate ranged from between 0.5% and 0.9% with the majority of the data points clustered around 0.5%.</w:t>
      </w:r>
    </w:p>
    <w:p w:rsidR="005747EA" w:rsidRDefault="0007723D" w:rsidP="005747EA">
      <w:pPr>
        <w:pStyle w:val="text"/>
        <w:keepNext/>
        <w:jc w:val="center"/>
      </w:pPr>
      <w:r>
        <w:lastRenderedPageBreak/>
        <w:t>Figure 31</w:t>
      </w:r>
      <w:r w:rsidR="005747EA">
        <w:t>: Histogram of Short Term Forward Rates – Jan 2012 to Dec 2013</w:t>
      </w:r>
    </w:p>
    <w:p w:rsidR="00E04562" w:rsidRDefault="00E04562" w:rsidP="00E85E79">
      <w:pPr>
        <w:pStyle w:val="text"/>
        <w:jc w:val="center"/>
      </w:pPr>
      <w:r>
        <w:rPr>
          <w:noProof/>
        </w:rPr>
        <w:drawing>
          <wp:inline distT="0" distB="0" distL="0" distR="0">
            <wp:extent cx="3744178" cy="2677135"/>
            <wp:effectExtent l="19050" t="19050" r="27722" b="27965"/>
            <wp:docPr id="1" name="Picture 1" descr="C:\Users\gmorneault\Google Drive\Education\CQF\June 2014\Final Project\figures\rate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morneault\Google Drive\Education\CQF\June 2014\Final Project\figures\rate_distribution.png"/>
                    <pic:cNvPicPr>
                      <a:picLocks noChangeAspect="1" noChangeArrowheads="1"/>
                    </pic:cNvPicPr>
                  </pic:nvPicPr>
                  <pic:blipFill>
                    <a:blip r:embed="rId38" cstate="print"/>
                    <a:srcRect/>
                    <a:stretch>
                      <a:fillRect/>
                    </a:stretch>
                  </pic:blipFill>
                  <pic:spPr bwMode="auto">
                    <a:xfrm>
                      <a:off x="0" y="0"/>
                      <a:ext cx="3744178" cy="2677135"/>
                    </a:xfrm>
                    <a:prstGeom prst="rect">
                      <a:avLst/>
                    </a:prstGeom>
                    <a:noFill/>
                    <a:ln w="9525">
                      <a:solidFill>
                        <a:schemeClr val="tx1"/>
                      </a:solidFill>
                      <a:miter lim="800000"/>
                      <a:headEnd/>
                      <a:tailEnd/>
                    </a:ln>
                  </pic:spPr>
                </pic:pic>
              </a:graphicData>
            </a:graphic>
          </wp:inline>
        </w:drawing>
      </w:r>
    </w:p>
    <w:p w:rsidR="00E04562" w:rsidRDefault="007B167E" w:rsidP="002749CE">
      <w:pPr>
        <w:pStyle w:val="text"/>
      </w:pPr>
      <w:r>
        <w:t xml:space="preserve">The </w:t>
      </w:r>
      <w:proofErr w:type="spellStart"/>
      <w:r>
        <w:t>Vasicek</w:t>
      </w:r>
      <w:proofErr w:type="spellEnd"/>
      <w:r>
        <w:t xml:space="preserve"> model was calibrated using an ordinary least squares approach as outlined by </w:t>
      </w:r>
      <w:proofErr w:type="spellStart"/>
      <w:r w:rsidRPr="007B167E">
        <w:t>Thijs</w:t>
      </w:r>
      <w:proofErr w:type="spellEnd"/>
      <w:r w:rsidRPr="007B167E">
        <w:t xml:space="preserve"> van den Berg</w:t>
      </w:r>
      <w:r>
        <w:t xml:space="preserve"> at </w:t>
      </w:r>
      <w:proofErr w:type="spellStart"/>
      <w:r>
        <w:t>Sitmo</w:t>
      </w:r>
      <w:proofErr w:type="spellEnd"/>
      <w:r>
        <w:rPr>
          <w:rStyle w:val="FootnoteReference"/>
        </w:rPr>
        <w:footnoteReference w:id="7"/>
      </w:r>
      <w:r w:rsidR="00DC19DD">
        <w:t>.  The figure below illustrates a line of best fit when regressing r</w:t>
      </w:r>
      <w:r w:rsidR="00DC19DD">
        <w:rPr>
          <w:vertAlign w:val="subscript"/>
        </w:rPr>
        <w:t>i-1</w:t>
      </w:r>
      <w:r w:rsidR="00DC19DD">
        <w:t xml:space="preserve"> to </w:t>
      </w:r>
      <w:proofErr w:type="spellStart"/>
      <w:r w:rsidR="00DC19DD">
        <w:t>r</w:t>
      </w:r>
      <w:r w:rsidR="00DC19DD">
        <w:rPr>
          <w:vertAlign w:val="subscript"/>
        </w:rPr>
        <w:t>i</w:t>
      </w:r>
      <w:proofErr w:type="spellEnd"/>
      <w:r w:rsidR="00656F33">
        <w:t>.  Line of best fit:</w:t>
      </w:r>
    </w:p>
    <w:p w:rsidR="00656F33" w:rsidRDefault="00656F33" w:rsidP="002749CE">
      <w:pPr>
        <w:pStyle w:val="text"/>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=0.00008+0.98001</m:t>
          </m:r>
          <m:sSub>
            <m:sSubPr>
              <m:ctrlPr>
                <w:rPr>
                  <w:rFonts w:ascii="Cambria Math" w:hAnsi="Cambria Math"/>
                  <w:i/>
                </w:rPr>
              </m:ctrlPr>
            </m:sSubPr>
            <m:e>
              <m:r>
                <w:rPr>
                  <w:rFonts w:ascii="Cambria Math" w:hAnsi="Cambria Math"/>
                </w:rPr>
                <m:t>r</m:t>
              </m:r>
            </m:e>
            <m:sub>
              <m:r>
                <w:rPr>
                  <w:rFonts w:ascii="Cambria Math" w:hAnsi="Cambria Math"/>
                </w:rPr>
                <m:t>i-1</m:t>
              </m:r>
            </m:sub>
          </m:sSub>
        </m:oMath>
      </m:oMathPara>
    </w:p>
    <w:p w:rsidR="00E04562" w:rsidRDefault="0007723D" w:rsidP="00D30E0F">
      <w:pPr>
        <w:pStyle w:val="text"/>
        <w:keepNext/>
        <w:jc w:val="center"/>
      </w:pPr>
      <w:r>
        <w:t>Figure 32</w:t>
      </w:r>
      <w:r w:rsidR="00D30E0F">
        <w:t>: Line of Best Fit for Short Term Forward Rates</w:t>
      </w:r>
    </w:p>
    <w:p w:rsidR="00E04562" w:rsidRDefault="00E04562" w:rsidP="00E85E79">
      <w:pPr>
        <w:pStyle w:val="text"/>
        <w:jc w:val="center"/>
      </w:pPr>
      <w:r>
        <w:rPr>
          <w:noProof/>
        </w:rPr>
        <w:drawing>
          <wp:inline distT="0" distB="0" distL="0" distR="0">
            <wp:extent cx="3896613" cy="2677135"/>
            <wp:effectExtent l="19050" t="19050" r="27687" b="27965"/>
            <wp:docPr id="7" name="Picture 2" descr="C:\Users\gmorneault\Google Drive\Education\CQF\June 2014\Final Project\figures\rate_least_squa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morneault\Google Drive\Education\CQF\June 2014\Final Project\figures\rate_least_squared.png"/>
                    <pic:cNvPicPr>
                      <a:picLocks noChangeAspect="1" noChangeArrowheads="1"/>
                    </pic:cNvPicPr>
                  </pic:nvPicPr>
                  <pic:blipFill>
                    <a:blip r:embed="rId39" cstate="print"/>
                    <a:srcRect/>
                    <a:stretch>
                      <a:fillRect/>
                    </a:stretch>
                  </pic:blipFill>
                  <pic:spPr bwMode="auto">
                    <a:xfrm>
                      <a:off x="0" y="0"/>
                      <a:ext cx="3896613" cy="2677135"/>
                    </a:xfrm>
                    <a:prstGeom prst="rect">
                      <a:avLst/>
                    </a:prstGeom>
                    <a:noFill/>
                    <a:ln w="9525">
                      <a:solidFill>
                        <a:schemeClr val="tx1"/>
                      </a:solidFill>
                      <a:miter lim="800000"/>
                      <a:headEnd/>
                      <a:tailEnd/>
                    </a:ln>
                  </pic:spPr>
                </pic:pic>
              </a:graphicData>
            </a:graphic>
          </wp:inline>
        </w:drawing>
      </w:r>
    </w:p>
    <w:p w:rsidR="00C50856" w:rsidRDefault="00C50856" w:rsidP="00C50856">
      <w:pPr>
        <w:pStyle w:val="text"/>
      </w:pPr>
      <w:r>
        <w:lastRenderedPageBreak/>
        <w:t xml:space="preserve">The calibration involves taking the slope, intercept and standard error from the line of best fit and calculating the parameters for the </w:t>
      </w:r>
      <w:proofErr w:type="spellStart"/>
      <w:r>
        <w:t>Vasicek</w:t>
      </w:r>
      <w:proofErr w:type="spellEnd"/>
      <w:r>
        <w:t xml:space="preserve"> model as follows:</w:t>
      </w:r>
    </w:p>
    <w:p w:rsidR="00C50856" w:rsidRDefault="00C50856" w:rsidP="00C50856">
      <w:pPr>
        <w:pStyle w:val="text"/>
        <w:spacing w:before="120" w:after="120"/>
      </w:pPr>
      <m:oMathPara>
        <m:oMath>
          <m:r>
            <w:rPr>
              <w:rFonts w:ascii="Cambria Math" w:hAnsi="Cambria Math"/>
            </w:rPr>
            <m:t>λ=-</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a</m:t>
                  </m:r>
                </m:e>
              </m:func>
            </m:num>
            <m:den>
              <m:r>
                <w:rPr>
                  <w:rFonts w:ascii="Cambria Math" w:hAnsi="Cambria Math"/>
                </w:rPr>
                <m:t>δ</m:t>
              </m:r>
            </m:den>
          </m:f>
        </m:oMath>
      </m:oMathPara>
    </w:p>
    <w:p w:rsidR="00C50856" w:rsidRDefault="00C50856" w:rsidP="00C50856">
      <w:pPr>
        <w:pStyle w:val="text"/>
        <w:spacing w:before="120" w:after="120"/>
      </w:pPr>
      <m:oMathPara>
        <m:oMath>
          <m:r>
            <w:rPr>
              <w:rFonts w:ascii="Cambria Math" w:hAnsi="Cambria Math"/>
            </w:rPr>
            <m:t>μ=</m:t>
          </m:r>
          <m:f>
            <m:fPr>
              <m:ctrlPr>
                <w:rPr>
                  <w:rFonts w:ascii="Cambria Math" w:hAnsi="Cambria Math"/>
                  <w:i/>
                </w:rPr>
              </m:ctrlPr>
            </m:fPr>
            <m:num>
              <m:r>
                <w:rPr>
                  <w:rFonts w:ascii="Cambria Math" w:hAnsi="Cambria Math"/>
                </w:rPr>
                <m:t>b</m:t>
              </m:r>
            </m:num>
            <m:den>
              <m:r>
                <w:rPr>
                  <w:rFonts w:ascii="Cambria Math" w:hAnsi="Cambria Math"/>
                </w:rPr>
                <m:t>1-a</m:t>
              </m:r>
            </m:den>
          </m:f>
        </m:oMath>
      </m:oMathPara>
    </w:p>
    <w:p w:rsidR="00C50856" w:rsidRDefault="00C50856" w:rsidP="00C50856">
      <w:pPr>
        <w:pStyle w:val="text"/>
        <w:spacing w:before="120" w:after="120"/>
      </w:pPr>
      <m:oMathPara>
        <m:oMath>
          <m:r>
            <w:rPr>
              <w:rFonts w:ascii="Cambria Math" w:hAnsi="Cambria Math"/>
            </w:rPr>
            <m:t>σ=sd(ϵ)</m:t>
          </m:r>
          <m:rad>
            <m:radPr>
              <m:degHide m:val="on"/>
              <m:ctrlPr>
                <w:rPr>
                  <w:rFonts w:ascii="Cambria Math" w:hAnsi="Cambria Math"/>
                  <w:i/>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a</m:t>
                      </m:r>
                    </m:e>
                  </m:func>
                </m:num>
                <m:den>
                  <m:r>
                    <w:rPr>
                      <w:rFonts w:ascii="Cambria Math" w:hAnsi="Cambria Math"/>
                    </w:rPr>
                    <m:t>δ(1-</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den>
              </m:f>
            </m:e>
          </m:rad>
        </m:oMath>
      </m:oMathPara>
    </w:p>
    <w:p w:rsidR="00656F33" w:rsidRDefault="00656F33" w:rsidP="00C50856">
      <w:pPr>
        <w:pStyle w:val="text"/>
        <w:spacing w:before="120" w:after="120"/>
      </w:pPr>
      <w:r>
        <w:t>The resul</w:t>
      </w:r>
      <w:r w:rsidR="00AA2F5A">
        <w:t xml:space="preserve">ting calibrated parameters </w:t>
      </w:r>
      <w:r w:rsidR="00353DE5">
        <w:t>are</w:t>
      </w:r>
      <w:r w:rsidR="00AA2F5A">
        <w:t>:</w:t>
      </w:r>
    </w:p>
    <w:p w:rsidR="00AA2F5A" w:rsidRPr="00C50856" w:rsidRDefault="00AA2F5A" w:rsidP="00AA2F5A">
      <w:pPr>
        <w:pStyle w:val="text"/>
        <w:spacing w:before="120" w:after="120"/>
      </w:pPr>
      <m:oMathPara>
        <m:oMath>
          <m:r>
            <w:rPr>
              <w:rFonts w:ascii="Cambria Math" w:hAnsi="Cambria Math"/>
            </w:rPr>
            <m:t xml:space="preserve">λ=0.142,  μ=0.004, </m:t>
          </m:r>
          <m:r>
            <w:rPr>
              <w:rFonts w:ascii="Cambria Math" w:hAnsi="Cambria Math"/>
            </w:rPr>
            <m:t xml:space="preserve"> </m:t>
          </m:r>
          <m:r>
            <w:rPr>
              <w:rFonts w:ascii="Cambria Math" w:hAnsi="Cambria Math"/>
            </w:rPr>
            <m:t>σ= 0.0002</m:t>
          </m:r>
        </m:oMath>
      </m:oMathPara>
    </w:p>
    <w:p w:rsidR="00AA2F5A" w:rsidRDefault="00353DE5" w:rsidP="00AA2F5A">
      <w:pPr>
        <w:pStyle w:val="text"/>
      </w:pPr>
      <w:r>
        <w:t xml:space="preserve">Bond prices were computed using the pricing equation for the </w:t>
      </w:r>
      <w:proofErr w:type="spellStart"/>
      <w:r>
        <w:t>Vasicek</w:t>
      </w:r>
      <w:proofErr w:type="spellEnd"/>
      <w:r>
        <w:t xml:space="preserve"> model along with the calibrated parameters.  Below is a comparison of risk-free zero-coupon bonds over a range of maturities for </w:t>
      </w:r>
      <w:proofErr w:type="spellStart"/>
      <w:r>
        <w:t>Vasicek</w:t>
      </w:r>
      <w:proofErr w:type="spellEnd"/>
      <w:r>
        <w:t xml:space="preserve"> as well as the two HJM implementations: Numpy and Sobol.</w:t>
      </w:r>
    </w:p>
    <w:p w:rsidR="00353DE5" w:rsidRPr="00AA2F5A" w:rsidRDefault="0007723D" w:rsidP="00353DE5">
      <w:pPr>
        <w:pStyle w:val="text"/>
        <w:keepNext/>
        <w:jc w:val="center"/>
      </w:pPr>
      <w:r>
        <w:t>Figure 33</w:t>
      </w:r>
      <w:r w:rsidR="00353DE5">
        <w:t>: Bond Pricing Comparison</w:t>
      </w:r>
    </w:p>
    <w:p w:rsidR="00E04562" w:rsidRDefault="00E04562" w:rsidP="00E85E79">
      <w:pPr>
        <w:pStyle w:val="text"/>
        <w:jc w:val="center"/>
      </w:pPr>
      <w:r>
        <w:rPr>
          <w:noProof/>
        </w:rPr>
        <w:drawing>
          <wp:inline distT="0" distB="0" distL="0" distR="0">
            <wp:extent cx="3753705" cy="2677135"/>
            <wp:effectExtent l="19050" t="19050" r="18195" b="27965"/>
            <wp:docPr id="11" name="Picture 3" descr="C:\Users\gmorneault\Google Drive\Education\CQF\June 2014\Final Project\figures\bond_prices_with_vasic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morneault\Google Drive\Education\CQF\June 2014\Final Project\figures\bond_prices_with_vasicek.png"/>
                    <pic:cNvPicPr>
                      <a:picLocks noChangeAspect="1" noChangeArrowheads="1"/>
                    </pic:cNvPicPr>
                  </pic:nvPicPr>
                  <pic:blipFill>
                    <a:blip r:embed="rId40" cstate="print"/>
                    <a:srcRect/>
                    <a:stretch>
                      <a:fillRect/>
                    </a:stretch>
                  </pic:blipFill>
                  <pic:spPr bwMode="auto">
                    <a:xfrm>
                      <a:off x="0" y="0"/>
                      <a:ext cx="3753705" cy="2677135"/>
                    </a:xfrm>
                    <a:prstGeom prst="rect">
                      <a:avLst/>
                    </a:prstGeom>
                    <a:noFill/>
                    <a:ln w="9525">
                      <a:solidFill>
                        <a:schemeClr val="tx1"/>
                      </a:solidFill>
                      <a:miter lim="800000"/>
                      <a:headEnd/>
                      <a:tailEnd/>
                    </a:ln>
                  </pic:spPr>
                </pic:pic>
              </a:graphicData>
            </a:graphic>
          </wp:inline>
        </w:drawing>
      </w:r>
    </w:p>
    <w:p w:rsidR="00353DE5" w:rsidRDefault="00353DE5" w:rsidP="00353DE5">
      <w:pPr>
        <w:pStyle w:val="text"/>
      </w:pPr>
      <w:r>
        <w:lastRenderedPageBreak/>
        <w:t xml:space="preserve">The figure clearly shows that bond pricing for the HJM implementation was more aggressive than that of the </w:t>
      </w:r>
      <w:proofErr w:type="spellStart"/>
      <w:r>
        <w:t>Vasicek</w:t>
      </w:r>
      <w:proofErr w:type="spellEnd"/>
      <w:r>
        <w:t xml:space="preserve"> model.  This difference is expected to some degree since the HJM model incorporates movements over the entire forward rate curve with the result that there is a gradual but consistent increasing trend in the short term forward rate over the simulation time.</w:t>
      </w:r>
    </w:p>
    <w:p w:rsidR="00353DE5" w:rsidRDefault="00353DE5" w:rsidP="00353DE5">
      <w:pPr>
        <w:pStyle w:val="text"/>
      </w:pPr>
      <w:r>
        <w:t xml:space="preserve">The </w:t>
      </w:r>
      <w:proofErr w:type="spellStart"/>
      <w:r>
        <w:t>Vasicek</w:t>
      </w:r>
      <w:proofErr w:type="spellEnd"/>
      <w:r>
        <w:t xml:space="preserve"> model does not incorporate this information.  Moreover, the </w:t>
      </w:r>
      <w:proofErr w:type="spellStart"/>
      <w:r>
        <w:t>Vasicek</w:t>
      </w:r>
      <w:proofErr w:type="spellEnd"/>
      <w:r>
        <w:t xml:space="preserve"> model was calibrated using the same forward rate data as that of the HJM model.  This data only reflects a low rate regime with little volatility in the short term rate.  Had the </w:t>
      </w:r>
      <w:proofErr w:type="spellStart"/>
      <w:r w:rsidR="006D275B">
        <w:t>Vasicek</w:t>
      </w:r>
      <w:proofErr w:type="spellEnd"/>
      <w:r w:rsidR="006D275B">
        <w:t xml:space="preserve"> model been calibrated over a longer time period spanning both high and low rate regimes, the calibrated lambda, mu, and sigma parameters would have all likely been higher.  The result would be bond prices more in line with those of the HJM implementation.</w:t>
      </w:r>
    </w:p>
    <w:p w:rsidR="00097D9B" w:rsidRPr="00353DE5" w:rsidRDefault="00097D9B" w:rsidP="00353DE5">
      <w:pPr>
        <w:pStyle w:val="text"/>
      </w:pPr>
      <w:r>
        <w:t>To gain a more clear comparison between the Numpy and Sobol zero-coupon bond prices, a plot of the differences was constructed.</w:t>
      </w:r>
    </w:p>
    <w:p w:rsidR="00097D9B" w:rsidRPr="00AA2F5A" w:rsidRDefault="0007723D" w:rsidP="00097D9B">
      <w:pPr>
        <w:pStyle w:val="text"/>
        <w:keepNext/>
        <w:jc w:val="center"/>
      </w:pPr>
      <w:r>
        <w:t>Figure 34</w:t>
      </w:r>
      <w:r w:rsidR="00097D9B">
        <w:t>: Bond Pricing Comparison</w:t>
      </w:r>
    </w:p>
    <w:p w:rsidR="00E04562" w:rsidRDefault="00E04562" w:rsidP="00E85E79">
      <w:pPr>
        <w:pStyle w:val="text"/>
        <w:jc w:val="center"/>
      </w:pPr>
      <w:r>
        <w:rPr>
          <w:noProof/>
        </w:rPr>
        <w:drawing>
          <wp:inline distT="0" distB="0" distL="0" distR="0">
            <wp:extent cx="3877559" cy="2820043"/>
            <wp:effectExtent l="19050" t="19050" r="27691" b="18407"/>
            <wp:docPr id="12" name="Picture 4" descr="C:\Users\gmorneault\Google Drive\Education\CQF\June 2014\Final Project\figures\bond_prices_dif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morneault\Google Drive\Education\CQF\June 2014\Final Project\figures\bond_prices_difference.png"/>
                    <pic:cNvPicPr>
                      <a:picLocks noChangeAspect="1" noChangeArrowheads="1"/>
                    </pic:cNvPicPr>
                  </pic:nvPicPr>
                  <pic:blipFill>
                    <a:blip r:embed="rId41" cstate="print"/>
                    <a:srcRect/>
                    <a:stretch>
                      <a:fillRect/>
                    </a:stretch>
                  </pic:blipFill>
                  <pic:spPr bwMode="auto">
                    <a:xfrm>
                      <a:off x="0" y="0"/>
                      <a:ext cx="3877559" cy="2820043"/>
                    </a:xfrm>
                    <a:prstGeom prst="rect">
                      <a:avLst/>
                    </a:prstGeom>
                    <a:noFill/>
                    <a:ln w="9525">
                      <a:solidFill>
                        <a:schemeClr val="tx1"/>
                      </a:solidFill>
                      <a:miter lim="800000"/>
                      <a:headEnd/>
                      <a:tailEnd/>
                    </a:ln>
                  </pic:spPr>
                </pic:pic>
              </a:graphicData>
            </a:graphic>
          </wp:inline>
        </w:drawing>
      </w:r>
    </w:p>
    <w:p w:rsidR="00132D7C" w:rsidRPr="00132D7C" w:rsidRDefault="00132D7C" w:rsidP="00132D7C">
      <w:pPr>
        <w:pStyle w:val="text"/>
      </w:pPr>
      <w:r>
        <w:lastRenderedPageBreak/>
        <w:t xml:space="preserve">The plot clearly shows that Numpy tends toward higher bond prices with increasing maturity.  Consequently, it seems as though the Numpy implementation simulates slightly lower forward rates over the course of the simulation period.  Further research we </w:t>
      </w:r>
      <w:proofErr w:type="gramStart"/>
      <w:r>
        <w:t>be</w:t>
      </w:r>
      <w:proofErr w:type="gramEnd"/>
      <w:r>
        <w:t xml:space="preserve"> required to see if this is truly an anomaly or a difference that can be decreased with an increasing number of simulations.</w:t>
      </w:r>
    </w:p>
    <w:sectPr w:rsidR="00132D7C" w:rsidRPr="00132D7C" w:rsidSect="00164CC1">
      <w:footerReference w:type="even" r:id="rId42"/>
      <w:footerReference w:type="default" r:id="rId43"/>
      <w:footerReference w:type="first" r:id="rId44"/>
      <w:pgSz w:w="12240" w:h="15840"/>
      <w:pgMar w:top="1800" w:right="1800" w:bottom="1800" w:left="1800" w:header="0" w:footer="1728"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5111" w:rsidRDefault="00D55111">
      <w:r>
        <w:separator/>
      </w:r>
    </w:p>
  </w:endnote>
  <w:endnote w:type="continuationSeparator" w:id="0">
    <w:p w:rsidR="00D55111" w:rsidRDefault="00D5511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Geneva">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0794" w:rsidRDefault="0019079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90794" w:rsidRDefault="0019079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0794" w:rsidRDefault="00190794">
    <w:pPr>
      <w:pStyle w:val="Footer"/>
      <w:framePr w:w="633"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5D2C93">
      <w:rPr>
        <w:rStyle w:val="PageNumber"/>
        <w:noProof/>
      </w:rPr>
      <w:t>24</w:t>
    </w:r>
    <w:r>
      <w:rPr>
        <w:rStyle w:val="PageNumber"/>
      </w:rPr>
      <w:fldChar w:fldCharType="end"/>
    </w:r>
  </w:p>
  <w:p w:rsidR="00190794" w:rsidRDefault="0019079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0794" w:rsidRDefault="00190794">
    <w:pPr>
      <w:widowControl w:val="0"/>
    </w:pPr>
    <w:r>
      <w:pgNum/>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5111" w:rsidRDefault="00D55111">
      <w:r>
        <w:separator/>
      </w:r>
    </w:p>
  </w:footnote>
  <w:footnote w:type="continuationSeparator" w:id="0">
    <w:p w:rsidR="00D55111" w:rsidRDefault="00D55111">
      <w:r>
        <w:continuationSeparator/>
      </w:r>
    </w:p>
  </w:footnote>
  <w:footnote w:id="1">
    <w:p w:rsidR="00190794" w:rsidRDefault="00190794">
      <w:pPr>
        <w:pStyle w:val="FootnoteText"/>
      </w:pPr>
      <w:r>
        <w:rPr>
          <w:rStyle w:val="FootnoteReference"/>
        </w:rPr>
        <w:footnoteRef/>
      </w:r>
      <w:r>
        <w:t xml:space="preserve"> </w:t>
      </w:r>
      <w:r w:rsidRPr="00B27819">
        <w:t>http://docs.scipy.org/doc/numpy/reference/generated/numpy.cov.html</w:t>
      </w:r>
    </w:p>
  </w:footnote>
  <w:footnote w:id="2">
    <w:p w:rsidR="00190794" w:rsidRDefault="00190794">
      <w:pPr>
        <w:pStyle w:val="FootnoteText"/>
      </w:pPr>
      <w:r>
        <w:rPr>
          <w:rStyle w:val="FootnoteReference"/>
        </w:rPr>
        <w:footnoteRef/>
      </w:r>
      <w:r>
        <w:t xml:space="preserve"> </w:t>
      </w:r>
      <w:r w:rsidRPr="000E1347">
        <w:t>http://www.netlib.org/lapack/</w:t>
      </w:r>
    </w:p>
  </w:footnote>
  <w:footnote w:id="3">
    <w:p w:rsidR="00190794" w:rsidRDefault="00190794">
      <w:pPr>
        <w:pStyle w:val="FootnoteText"/>
      </w:pPr>
      <w:r>
        <w:rPr>
          <w:rStyle w:val="FootnoteReference"/>
        </w:rPr>
        <w:footnoteRef/>
      </w:r>
      <w:r>
        <w:t xml:space="preserve"> </w:t>
      </w:r>
      <w:r w:rsidRPr="00F70980">
        <w:t>http://docs.scipy.org/doc/numpy/reference/generated/numpy.linalg.eig.html</w:t>
      </w:r>
    </w:p>
  </w:footnote>
  <w:footnote w:id="4">
    <w:p w:rsidR="00190794" w:rsidRDefault="00190794">
      <w:pPr>
        <w:pStyle w:val="FootnoteText"/>
      </w:pPr>
      <w:r>
        <w:rPr>
          <w:rStyle w:val="FootnoteReference"/>
        </w:rPr>
        <w:footnoteRef/>
      </w:r>
      <w:r>
        <w:t xml:space="preserve"> Note that the QR decomposition implementation was leveraged purely for validating the results of the NumPy implementation and was not used in calculating the volatility and drift functions discussed later in the paper.</w:t>
      </w:r>
    </w:p>
  </w:footnote>
  <w:footnote w:id="5">
    <w:p w:rsidR="00190794" w:rsidRDefault="00190794">
      <w:pPr>
        <w:pStyle w:val="FootnoteText"/>
      </w:pPr>
      <w:r>
        <w:rPr>
          <w:rStyle w:val="FootnoteReference"/>
        </w:rPr>
        <w:footnoteRef/>
      </w:r>
      <w:r>
        <w:t xml:space="preserve"> </w:t>
      </w:r>
      <w:r w:rsidRPr="006D5117">
        <w:t>http://docs.scipy.org/doc/numpy/reference/generated/numpy.random.uniform.html</w:t>
      </w:r>
    </w:p>
  </w:footnote>
  <w:footnote w:id="6">
    <w:p w:rsidR="00190794" w:rsidRDefault="00190794">
      <w:pPr>
        <w:pStyle w:val="FootnoteText"/>
      </w:pPr>
      <w:r>
        <w:rPr>
          <w:rStyle w:val="FootnoteReference"/>
        </w:rPr>
        <w:footnoteRef/>
      </w:r>
      <w:r>
        <w:t xml:space="preserve"> </w:t>
      </w:r>
      <w:r w:rsidRPr="006715C1">
        <w:t>http://people.sc.fsu.edu/~jburkardt/py_src/sobol/sobol.html</w:t>
      </w:r>
    </w:p>
    <w:p w:rsidR="00190794" w:rsidRDefault="00190794">
      <w:pPr>
        <w:pStyle w:val="FootnoteText"/>
      </w:pPr>
    </w:p>
  </w:footnote>
  <w:footnote w:id="7">
    <w:p w:rsidR="00190794" w:rsidRDefault="00190794">
      <w:pPr>
        <w:pStyle w:val="FootnoteText"/>
      </w:pPr>
      <w:r>
        <w:rPr>
          <w:rStyle w:val="FootnoteReference"/>
        </w:rPr>
        <w:footnoteRef/>
      </w:r>
      <w:r>
        <w:t xml:space="preserve"> </w:t>
      </w:r>
      <w:r w:rsidRPr="007B167E">
        <w:t>http://www.sitmo.com/article/calibrating-the-ornstein-uhlenbeck-model/</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864C9440"/>
    <w:lvl w:ilvl="0">
      <w:numFmt w:val="decimal"/>
      <w:lvlText w:val="*"/>
      <w:lvlJc w:val="left"/>
    </w:lvl>
  </w:abstractNum>
  <w:abstractNum w:abstractNumId="1">
    <w:nsid w:val="69CE63C8"/>
    <w:multiLevelType w:val="singleLevel"/>
    <w:tmpl w:val="73260532"/>
    <w:lvl w:ilvl="0">
      <w:start w:val="1"/>
      <w:numFmt w:val="decimal"/>
      <w:lvlText w:val="%1."/>
      <w:legacy w:legacy="1" w:legacySpace="0" w:legacyIndent="720"/>
      <w:lvlJc w:val="left"/>
      <w:pPr>
        <w:ind w:left="720" w:hanging="720"/>
      </w:pPr>
    </w:lvl>
  </w:abstractNum>
  <w:num w:numId="1">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intFractionalCharacterWidth/>
  <w:proofState w:spelling="clean" w:grammar="clean"/>
  <w:attachedTemplate r:id="rId1"/>
  <w:stylePaneFormatFilter w:val="3F01"/>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
  <w:rsids>
    <w:rsidRoot w:val="00E85D15"/>
    <w:rsid w:val="00000181"/>
    <w:rsid w:val="000033F8"/>
    <w:rsid w:val="00010683"/>
    <w:rsid w:val="0001236B"/>
    <w:rsid w:val="000153BF"/>
    <w:rsid w:val="00030A52"/>
    <w:rsid w:val="00034B84"/>
    <w:rsid w:val="000618E3"/>
    <w:rsid w:val="00073CC4"/>
    <w:rsid w:val="0007723D"/>
    <w:rsid w:val="00097D9B"/>
    <w:rsid w:val="000E1347"/>
    <w:rsid w:val="000E5289"/>
    <w:rsid w:val="000E7E45"/>
    <w:rsid w:val="001113A6"/>
    <w:rsid w:val="00112592"/>
    <w:rsid w:val="001148A8"/>
    <w:rsid w:val="00117BC4"/>
    <w:rsid w:val="00121BF9"/>
    <w:rsid w:val="001262BB"/>
    <w:rsid w:val="00132D7C"/>
    <w:rsid w:val="00135B10"/>
    <w:rsid w:val="00164A16"/>
    <w:rsid w:val="00164CC1"/>
    <w:rsid w:val="00171485"/>
    <w:rsid w:val="001714A4"/>
    <w:rsid w:val="001800C2"/>
    <w:rsid w:val="00190794"/>
    <w:rsid w:val="00192DC1"/>
    <w:rsid w:val="00195DB3"/>
    <w:rsid w:val="001A0FB8"/>
    <w:rsid w:val="001C13A7"/>
    <w:rsid w:val="001C1911"/>
    <w:rsid w:val="001C6FCD"/>
    <w:rsid w:val="001E1DE2"/>
    <w:rsid w:val="001E505C"/>
    <w:rsid w:val="001F1DEB"/>
    <w:rsid w:val="002144C1"/>
    <w:rsid w:val="0024249D"/>
    <w:rsid w:val="0024582E"/>
    <w:rsid w:val="00262A85"/>
    <w:rsid w:val="002749CE"/>
    <w:rsid w:val="00275D7A"/>
    <w:rsid w:val="00291548"/>
    <w:rsid w:val="002C1F55"/>
    <w:rsid w:val="002D5A08"/>
    <w:rsid w:val="003035A4"/>
    <w:rsid w:val="00327697"/>
    <w:rsid w:val="00353DE5"/>
    <w:rsid w:val="00356E90"/>
    <w:rsid w:val="00377423"/>
    <w:rsid w:val="0038116C"/>
    <w:rsid w:val="003B6FFF"/>
    <w:rsid w:val="003B7D3E"/>
    <w:rsid w:val="003C3843"/>
    <w:rsid w:val="00426A68"/>
    <w:rsid w:val="004374C9"/>
    <w:rsid w:val="00445640"/>
    <w:rsid w:val="00455768"/>
    <w:rsid w:val="004573B6"/>
    <w:rsid w:val="00457ECA"/>
    <w:rsid w:val="004A1C8F"/>
    <w:rsid w:val="004A6502"/>
    <w:rsid w:val="004B16DA"/>
    <w:rsid w:val="004B1B73"/>
    <w:rsid w:val="004B68DE"/>
    <w:rsid w:val="004C6DA7"/>
    <w:rsid w:val="004D2A55"/>
    <w:rsid w:val="004D3643"/>
    <w:rsid w:val="004F1A74"/>
    <w:rsid w:val="004F2F48"/>
    <w:rsid w:val="005072AE"/>
    <w:rsid w:val="00521F26"/>
    <w:rsid w:val="00523B79"/>
    <w:rsid w:val="005340C8"/>
    <w:rsid w:val="00536AC6"/>
    <w:rsid w:val="00540D89"/>
    <w:rsid w:val="00542FC3"/>
    <w:rsid w:val="00547C7D"/>
    <w:rsid w:val="005747EA"/>
    <w:rsid w:val="005A3F15"/>
    <w:rsid w:val="005C2FEC"/>
    <w:rsid w:val="005D2C93"/>
    <w:rsid w:val="005D36F8"/>
    <w:rsid w:val="005E6A56"/>
    <w:rsid w:val="005F01BE"/>
    <w:rsid w:val="005F40D6"/>
    <w:rsid w:val="00612CA8"/>
    <w:rsid w:val="00624221"/>
    <w:rsid w:val="00656F33"/>
    <w:rsid w:val="00665B0F"/>
    <w:rsid w:val="00667A35"/>
    <w:rsid w:val="006715C1"/>
    <w:rsid w:val="00672A2A"/>
    <w:rsid w:val="00682B82"/>
    <w:rsid w:val="00682D5D"/>
    <w:rsid w:val="006A4619"/>
    <w:rsid w:val="006A6FE2"/>
    <w:rsid w:val="006B39D3"/>
    <w:rsid w:val="006D275B"/>
    <w:rsid w:val="006D4F17"/>
    <w:rsid w:val="006D5117"/>
    <w:rsid w:val="006F2AD4"/>
    <w:rsid w:val="00702BA0"/>
    <w:rsid w:val="007034BC"/>
    <w:rsid w:val="007048EB"/>
    <w:rsid w:val="00715B99"/>
    <w:rsid w:val="00726CB4"/>
    <w:rsid w:val="00734098"/>
    <w:rsid w:val="00734BAA"/>
    <w:rsid w:val="00740D09"/>
    <w:rsid w:val="00757F6B"/>
    <w:rsid w:val="007B167E"/>
    <w:rsid w:val="007C210E"/>
    <w:rsid w:val="007C5628"/>
    <w:rsid w:val="007E25C5"/>
    <w:rsid w:val="00825A8A"/>
    <w:rsid w:val="008505B0"/>
    <w:rsid w:val="00870C10"/>
    <w:rsid w:val="00874679"/>
    <w:rsid w:val="00880817"/>
    <w:rsid w:val="00894573"/>
    <w:rsid w:val="008B36F4"/>
    <w:rsid w:val="008C6090"/>
    <w:rsid w:val="008C746C"/>
    <w:rsid w:val="008D1B88"/>
    <w:rsid w:val="008D57BB"/>
    <w:rsid w:val="008F3EE7"/>
    <w:rsid w:val="008F74A0"/>
    <w:rsid w:val="00922B6B"/>
    <w:rsid w:val="009529BF"/>
    <w:rsid w:val="0095722D"/>
    <w:rsid w:val="00960BFC"/>
    <w:rsid w:val="009845B9"/>
    <w:rsid w:val="009B2606"/>
    <w:rsid w:val="009C1125"/>
    <w:rsid w:val="009D4EE4"/>
    <w:rsid w:val="009D74B4"/>
    <w:rsid w:val="009E3AA9"/>
    <w:rsid w:val="00A069F6"/>
    <w:rsid w:val="00A11E26"/>
    <w:rsid w:val="00A1651F"/>
    <w:rsid w:val="00A4540C"/>
    <w:rsid w:val="00A65570"/>
    <w:rsid w:val="00AA10B7"/>
    <w:rsid w:val="00AA2F5A"/>
    <w:rsid w:val="00AB18B7"/>
    <w:rsid w:val="00AB6AD4"/>
    <w:rsid w:val="00AB7856"/>
    <w:rsid w:val="00AD2F29"/>
    <w:rsid w:val="00B1519B"/>
    <w:rsid w:val="00B27819"/>
    <w:rsid w:val="00B34167"/>
    <w:rsid w:val="00B401EB"/>
    <w:rsid w:val="00B4269F"/>
    <w:rsid w:val="00B727CD"/>
    <w:rsid w:val="00B76359"/>
    <w:rsid w:val="00BA1437"/>
    <w:rsid w:val="00BC11D8"/>
    <w:rsid w:val="00BC49B9"/>
    <w:rsid w:val="00BC61F9"/>
    <w:rsid w:val="00BE139A"/>
    <w:rsid w:val="00BE179D"/>
    <w:rsid w:val="00C05FD4"/>
    <w:rsid w:val="00C313D3"/>
    <w:rsid w:val="00C50856"/>
    <w:rsid w:val="00C56819"/>
    <w:rsid w:val="00CF3251"/>
    <w:rsid w:val="00D102A9"/>
    <w:rsid w:val="00D179F5"/>
    <w:rsid w:val="00D17CF9"/>
    <w:rsid w:val="00D30E0F"/>
    <w:rsid w:val="00D55111"/>
    <w:rsid w:val="00D71090"/>
    <w:rsid w:val="00D92E4D"/>
    <w:rsid w:val="00DA68A3"/>
    <w:rsid w:val="00DC19DD"/>
    <w:rsid w:val="00DC230A"/>
    <w:rsid w:val="00DC370C"/>
    <w:rsid w:val="00DE311E"/>
    <w:rsid w:val="00DF42FD"/>
    <w:rsid w:val="00E01233"/>
    <w:rsid w:val="00E04562"/>
    <w:rsid w:val="00E12E8B"/>
    <w:rsid w:val="00E176B7"/>
    <w:rsid w:val="00E45112"/>
    <w:rsid w:val="00E573CA"/>
    <w:rsid w:val="00E667BC"/>
    <w:rsid w:val="00E73E3F"/>
    <w:rsid w:val="00E85D15"/>
    <w:rsid w:val="00E85E79"/>
    <w:rsid w:val="00E9379A"/>
    <w:rsid w:val="00E94945"/>
    <w:rsid w:val="00EA6127"/>
    <w:rsid w:val="00EB3C32"/>
    <w:rsid w:val="00EB7082"/>
    <w:rsid w:val="00EC361D"/>
    <w:rsid w:val="00EC4DA3"/>
    <w:rsid w:val="00F11A0C"/>
    <w:rsid w:val="00F234FA"/>
    <w:rsid w:val="00F251DE"/>
    <w:rsid w:val="00F37A10"/>
    <w:rsid w:val="00F42869"/>
    <w:rsid w:val="00F503B4"/>
    <w:rsid w:val="00F70980"/>
    <w:rsid w:val="00F71A16"/>
    <w:rsid w:val="00F7491C"/>
    <w:rsid w:val="00F85F08"/>
    <w:rsid w:val="00FC60FA"/>
    <w:rsid w:val="00FE1FA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C60FA"/>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rsid w:val="00EC4DA3"/>
    <w:pPr>
      <w:spacing w:before="360" w:after="240"/>
      <w:jc w:val="center"/>
      <w:outlineLvl w:val="0"/>
    </w:pPr>
    <w:rPr>
      <w:caps/>
      <w:smallCaps w:val="0"/>
      <w:sz w:val="28"/>
    </w:rPr>
  </w:style>
  <w:style w:type="paragraph" w:styleId="Heading2">
    <w:name w:val="heading 2"/>
    <w:aliases w:val="h2"/>
    <w:basedOn w:val="Heading3"/>
    <w:next w:val="text"/>
    <w:qFormat/>
    <w:rsid w:val="001A0FB8"/>
    <w:pPr>
      <w:spacing w:before="240" w:after="240"/>
      <w:jc w:val="center"/>
      <w:outlineLvl w:val="1"/>
    </w:pPr>
    <w:rPr>
      <w:smallCaps w:val="0"/>
      <w:sz w:val="28"/>
    </w:rPr>
  </w:style>
  <w:style w:type="paragraph" w:styleId="Heading3">
    <w:name w:val="heading 3"/>
    <w:aliases w:val="h3"/>
    <w:basedOn w:val="Normal"/>
    <w:next w:val="text"/>
    <w:qFormat/>
    <w:rsid w:val="001A0FB8"/>
    <w:pPr>
      <w:keepNext/>
      <w:keepLines/>
      <w:spacing w:before="300" w:after="60"/>
      <w:outlineLvl w:val="2"/>
    </w:pPr>
    <w:rPr>
      <w:b/>
      <w:smallCaps/>
    </w:rPr>
  </w:style>
  <w:style w:type="paragraph" w:styleId="Heading4">
    <w:name w:val="heading 4"/>
    <w:aliases w:val="h4"/>
    <w:basedOn w:val="Heading3"/>
    <w:next w:val="text"/>
    <w:qFormat/>
    <w:rsid w:val="001A0FB8"/>
    <w:pPr>
      <w:outlineLvl w:val="3"/>
    </w:pPr>
    <w:rPr>
      <w:smallCaps w:val="0"/>
    </w:rPr>
  </w:style>
  <w:style w:type="paragraph" w:styleId="Heading5">
    <w:name w:val="heading 5"/>
    <w:aliases w:val="h5"/>
    <w:basedOn w:val="Heading3"/>
    <w:next w:val="text"/>
    <w:qFormat/>
    <w:rsid w:val="001A0FB8"/>
    <w:pPr>
      <w:outlineLvl w:val="4"/>
    </w:pPr>
    <w:rPr>
      <w:i/>
      <w:smallCaps w:val="0"/>
    </w:rPr>
  </w:style>
  <w:style w:type="paragraph" w:styleId="Heading7">
    <w:name w:val="heading 7"/>
    <w:aliases w:val="h7"/>
    <w:basedOn w:val="Heading3"/>
    <w:next w:val="text"/>
    <w:qFormat/>
    <w:rsid w:val="001A0FB8"/>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rsid w:val="00960BFC"/>
    <w:pPr>
      <w:spacing w:after="0"/>
      <w:ind w:left="1267" w:hanging="1267"/>
      <w:jc w:val="center"/>
      <w:outlineLvl w:val="7"/>
    </w:pPr>
  </w:style>
  <w:style w:type="paragraph" w:styleId="Heading9">
    <w:name w:val="heading 9"/>
    <w:aliases w:val="h9"/>
    <w:basedOn w:val="Heading7"/>
    <w:next w:val="text"/>
    <w:qFormat/>
    <w:rsid w:val="001A0FB8"/>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rsid w:val="001A0FB8"/>
    <w:pPr>
      <w:spacing w:line="480" w:lineRule="atLeast"/>
      <w:ind w:firstLine="720"/>
      <w:jc w:val="both"/>
    </w:pPr>
  </w:style>
  <w:style w:type="paragraph" w:styleId="Footer">
    <w:name w:val="footer"/>
    <w:basedOn w:val="Normal"/>
    <w:rsid w:val="001A0FB8"/>
    <w:pPr>
      <w:tabs>
        <w:tab w:val="center" w:pos="4320"/>
        <w:tab w:val="right" w:pos="8640"/>
      </w:tabs>
    </w:pPr>
  </w:style>
  <w:style w:type="paragraph" w:styleId="TOC8">
    <w:name w:val="toc 8"/>
    <w:basedOn w:val="TOC7"/>
    <w:uiPriority w:val="39"/>
    <w:rsid w:val="001A0FB8"/>
  </w:style>
  <w:style w:type="paragraph" w:styleId="TOC7">
    <w:name w:val="toc 7"/>
    <w:basedOn w:val="TOC3"/>
    <w:uiPriority w:val="39"/>
    <w:rsid w:val="001A0FB8"/>
    <w:pPr>
      <w:spacing w:before="0" w:line="480" w:lineRule="atLeast"/>
      <w:ind w:left="1260" w:hanging="1260"/>
    </w:pPr>
  </w:style>
  <w:style w:type="paragraph" w:styleId="TOC3">
    <w:name w:val="toc 3"/>
    <w:basedOn w:val="Normal"/>
    <w:uiPriority w:val="39"/>
    <w:rsid w:val="001A0FB8"/>
    <w:pPr>
      <w:keepLines/>
      <w:tabs>
        <w:tab w:val="right" w:leader="dot" w:pos="7920"/>
      </w:tabs>
      <w:spacing w:before="120"/>
      <w:ind w:left="1080" w:right="360" w:hanging="540"/>
    </w:pPr>
  </w:style>
  <w:style w:type="paragraph" w:styleId="TOC5">
    <w:name w:val="toc 5"/>
    <w:basedOn w:val="TOC3"/>
    <w:uiPriority w:val="39"/>
    <w:rsid w:val="001A0FB8"/>
    <w:pPr>
      <w:ind w:left="2160"/>
    </w:pPr>
  </w:style>
  <w:style w:type="paragraph" w:styleId="TOC4">
    <w:name w:val="toc 4"/>
    <w:basedOn w:val="TOC3"/>
    <w:uiPriority w:val="39"/>
    <w:rsid w:val="001A0FB8"/>
    <w:pPr>
      <w:ind w:left="1620"/>
    </w:pPr>
  </w:style>
  <w:style w:type="paragraph" w:styleId="TOC2">
    <w:name w:val="toc 2"/>
    <w:basedOn w:val="TOC3"/>
    <w:uiPriority w:val="39"/>
    <w:rsid w:val="001A0FB8"/>
    <w:pPr>
      <w:keepNext/>
      <w:spacing w:before="240"/>
      <w:ind w:left="540"/>
    </w:pPr>
  </w:style>
  <w:style w:type="paragraph" w:styleId="TOC1">
    <w:name w:val="toc 1"/>
    <w:basedOn w:val="TOC3"/>
    <w:uiPriority w:val="39"/>
    <w:rsid w:val="00FC60FA"/>
    <w:pPr>
      <w:keepNext/>
      <w:spacing w:before="240"/>
      <w:ind w:left="540"/>
    </w:pPr>
    <w:rPr>
      <w:b/>
      <w:smallCaps/>
    </w:rPr>
  </w:style>
  <w:style w:type="paragraph" w:styleId="Header">
    <w:name w:val="header"/>
    <w:basedOn w:val="Normal"/>
    <w:next w:val="Normal"/>
    <w:rsid w:val="001A0FB8"/>
    <w:pPr>
      <w:tabs>
        <w:tab w:val="center" w:pos="4320"/>
        <w:tab w:val="right" w:pos="8640"/>
      </w:tabs>
    </w:pPr>
  </w:style>
  <w:style w:type="character" w:styleId="FootnoteReference">
    <w:name w:val="footnote reference"/>
    <w:semiHidden/>
    <w:rsid w:val="001A0FB8"/>
    <w:rPr>
      <w:position w:val="6"/>
      <w:sz w:val="16"/>
    </w:rPr>
  </w:style>
  <w:style w:type="paragraph" w:styleId="FootnoteText">
    <w:name w:val="footnote text"/>
    <w:basedOn w:val="Normal"/>
    <w:semiHidden/>
    <w:rsid w:val="001A0FB8"/>
    <w:rPr>
      <w:sz w:val="20"/>
    </w:rPr>
  </w:style>
  <w:style w:type="paragraph" w:styleId="TOC9">
    <w:name w:val="toc 9"/>
    <w:basedOn w:val="TOC8"/>
    <w:uiPriority w:val="39"/>
    <w:rsid w:val="001A0FB8"/>
    <w:pPr>
      <w:tabs>
        <w:tab w:val="left" w:pos="1620"/>
      </w:tabs>
      <w:ind w:left="1620" w:hanging="1620"/>
    </w:pPr>
  </w:style>
  <w:style w:type="character" w:styleId="PageNumber">
    <w:name w:val="page number"/>
    <w:basedOn w:val="DefaultParagraphFont"/>
    <w:rsid w:val="001A0FB8"/>
  </w:style>
  <w:style w:type="paragraph" w:customStyle="1" w:styleId="reference">
    <w:name w:val="reference"/>
    <w:aliases w:val="ref"/>
    <w:basedOn w:val="Normal"/>
    <w:rsid w:val="001A0FB8"/>
    <w:pPr>
      <w:spacing w:before="120" w:after="120"/>
      <w:ind w:left="720" w:hanging="720"/>
      <w:jc w:val="both"/>
    </w:pPr>
  </w:style>
  <w:style w:type="paragraph" w:customStyle="1" w:styleId="headingfm2">
    <w:name w:val="heading fm2"/>
    <w:aliases w:val="hf2"/>
    <w:basedOn w:val="Heading2"/>
    <w:next w:val="textcentered"/>
    <w:rsid w:val="001A0FB8"/>
    <w:pPr>
      <w:outlineLvl w:val="9"/>
    </w:pPr>
  </w:style>
  <w:style w:type="paragraph" w:customStyle="1" w:styleId="textcentered">
    <w:name w:val="text centered"/>
    <w:aliases w:val="tc"/>
    <w:basedOn w:val="textnoindent"/>
    <w:rsid w:val="001A0FB8"/>
    <w:pPr>
      <w:jc w:val="center"/>
    </w:pPr>
  </w:style>
  <w:style w:type="paragraph" w:customStyle="1" w:styleId="textnoindent">
    <w:name w:val="text no indent"/>
    <w:aliases w:val="tn"/>
    <w:basedOn w:val="text"/>
    <w:rsid w:val="001A0FB8"/>
    <w:pPr>
      <w:ind w:firstLine="0"/>
    </w:pPr>
  </w:style>
  <w:style w:type="paragraph" w:customStyle="1" w:styleId="textsinglespaced">
    <w:name w:val="text single spaced"/>
    <w:aliases w:val="ts"/>
    <w:basedOn w:val="textnoindent"/>
    <w:rsid w:val="001A0FB8"/>
    <w:pPr>
      <w:spacing w:line="240" w:lineRule="auto"/>
      <w:jc w:val="left"/>
    </w:pPr>
  </w:style>
  <w:style w:type="paragraph" w:customStyle="1" w:styleId="textquote">
    <w:name w:val="text quote"/>
    <w:aliases w:val="tq"/>
    <w:basedOn w:val="textsinglespaced"/>
    <w:next w:val="text"/>
    <w:rsid w:val="001A0FB8"/>
    <w:pPr>
      <w:spacing w:before="240"/>
      <w:ind w:left="720"/>
    </w:pPr>
  </w:style>
  <w:style w:type="paragraph" w:customStyle="1" w:styleId="hiddentext">
    <w:name w:val="hidden text"/>
    <w:aliases w:val="hid"/>
    <w:next w:val="text"/>
    <w:rsid w:val="001A0FB8"/>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rsid w:val="001A0FB8"/>
    <w:pPr>
      <w:ind w:left="720" w:hanging="720"/>
    </w:pPr>
  </w:style>
  <w:style w:type="paragraph" w:customStyle="1" w:styleId="leftmargingraphic">
    <w:name w:val="left margin graphic"/>
    <w:aliases w:val="lg"/>
    <w:basedOn w:val="Normal"/>
    <w:rsid w:val="001A0FB8"/>
    <w:pPr>
      <w:keepNext/>
      <w:framePr w:hSpace="180" w:vSpace="180" w:wrap="auto" w:hAnchor="margin"/>
      <w:spacing w:before="240"/>
    </w:pPr>
  </w:style>
  <w:style w:type="paragraph" w:customStyle="1" w:styleId="textindent">
    <w:name w:val="text indent"/>
    <w:aliases w:val="ti"/>
    <w:basedOn w:val="text"/>
    <w:rsid w:val="001A0FB8"/>
    <w:pPr>
      <w:ind w:left="720" w:firstLine="0"/>
    </w:pPr>
  </w:style>
  <w:style w:type="paragraph" w:customStyle="1" w:styleId="headingfm1">
    <w:name w:val="heading fm1"/>
    <w:aliases w:val="hf1"/>
    <w:basedOn w:val="Heading1"/>
    <w:next w:val="textcentered"/>
    <w:rsid w:val="001A0FB8"/>
    <w:pPr>
      <w:keepNext w:val="0"/>
      <w:spacing w:before="0" w:after="0" w:line="480" w:lineRule="atLeast"/>
      <w:outlineLvl w:val="9"/>
    </w:pPr>
    <w:rPr>
      <w:caps w:val="0"/>
    </w:rPr>
  </w:style>
  <w:style w:type="table" w:styleId="TableGrid">
    <w:name w:val="Table Grid"/>
    <w:basedOn w:val="TableNormal"/>
    <w:uiPriority w:val="59"/>
    <w:rsid w:val="00BC61F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rsid w:val="00BC61F9"/>
    <w:rPr>
      <w:rFonts w:ascii="Tahoma" w:hAnsi="Tahoma" w:cs="Tahoma"/>
      <w:sz w:val="16"/>
      <w:szCs w:val="16"/>
    </w:rPr>
  </w:style>
  <w:style w:type="character" w:customStyle="1" w:styleId="BalloonTextChar">
    <w:name w:val="Balloon Text Char"/>
    <w:basedOn w:val="DefaultParagraphFont"/>
    <w:link w:val="BalloonText"/>
    <w:rsid w:val="00BC61F9"/>
    <w:rPr>
      <w:rFonts w:ascii="Tahoma" w:hAnsi="Tahoma" w:cs="Tahoma"/>
      <w:sz w:val="16"/>
      <w:szCs w:val="16"/>
    </w:rPr>
  </w:style>
  <w:style w:type="character" w:styleId="PlaceholderText">
    <w:name w:val="Placeholder Text"/>
    <w:basedOn w:val="DefaultParagraphFont"/>
    <w:uiPriority w:val="99"/>
    <w:semiHidden/>
    <w:rsid w:val="00757F6B"/>
    <w:rPr>
      <w:color w:val="808080"/>
    </w:rPr>
  </w:style>
</w:styles>
</file>

<file path=word/webSettings.xml><?xml version="1.0" encoding="utf-8"?>
<w:webSettings xmlns:r="http://schemas.openxmlformats.org/officeDocument/2006/relationships" xmlns:w="http://schemas.openxmlformats.org/wordprocessingml/2006/main">
  <w:divs>
    <w:div w:id="995835790">
      <w:bodyDiv w:val="1"/>
      <w:marLeft w:val="0"/>
      <w:marRight w:val="0"/>
      <w:marTop w:val="0"/>
      <w:marBottom w:val="0"/>
      <w:divBdr>
        <w:top w:val="none" w:sz="0" w:space="0" w:color="auto"/>
        <w:left w:val="none" w:sz="0" w:space="0" w:color="auto"/>
        <w:bottom w:val="none" w:sz="0" w:space="0" w:color="auto"/>
        <w:right w:val="none" w:sz="0" w:space="0" w:color="auto"/>
      </w:divBdr>
    </w:div>
    <w:div w:id="1020858135">
      <w:bodyDiv w:val="1"/>
      <w:marLeft w:val="0"/>
      <w:marRight w:val="0"/>
      <w:marTop w:val="0"/>
      <w:marBottom w:val="0"/>
      <w:divBdr>
        <w:top w:val="none" w:sz="0" w:space="0" w:color="auto"/>
        <w:left w:val="none" w:sz="0" w:space="0" w:color="auto"/>
        <w:bottom w:val="none" w:sz="0" w:space="0" w:color="auto"/>
        <w:right w:val="none" w:sz="0" w:space="0" w:color="auto"/>
      </w:divBdr>
    </w:div>
    <w:div w:id="1199468684">
      <w:bodyDiv w:val="1"/>
      <w:marLeft w:val="0"/>
      <w:marRight w:val="0"/>
      <w:marTop w:val="0"/>
      <w:marBottom w:val="0"/>
      <w:divBdr>
        <w:top w:val="none" w:sz="0" w:space="0" w:color="auto"/>
        <w:left w:val="none" w:sz="0" w:space="0" w:color="auto"/>
        <w:bottom w:val="none" w:sz="0" w:space="0" w:color="auto"/>
        <w:right w:val="none" w:sz="0" w:space="0" w:color="auto"/>
      </w:divBdr>
    </w:div>
    <w:div w:id="1227913131">
      <w:bodyDiv w:val="1"/>
      <w:marLeft w:val="0"/>
      <w:marRight w:val="0"/>
      <w:marTop w:val="0"/>
      <w:marBottom w:val="0"/>
      <w:divBdr>
        <w:top w:val="none" w:sz="0" w:space="0" w:color="auto"/>
        <w:left w:val="none" w:sz="0" w:space="0" w:color="auto"/>
        <w:bottom w:val="none" w:sz="0" w:space="0" w:color="auto"/>
        <w:right w:val="none" w:sz="0" w:space="0" w:color="auto"/>
      </w:divBdr>
    </w:div>
    <w:div w:id="1552425306">
      <w:bodyDiv w:val="1"/>
      <w:marLeft w:val="0"/>
      <w:marRight w:val="0"/>
      <w:marTop w:val="0"/>
      <w:marBottom w:val="0"/>
      <w:divBdr>
        <w:top w:val="none" w:sz="0" w:space="0" w:color="auto"/>
        <w:left w:val="none" w:sz="0" w:space="0" w:color="auto"/>
        <w:bottom w:val="none" w:sz="0" w:space="0" w:color="auto"/>
        <w:right w:val="none" w:sz="0" w:space="0" w:color="auto"/>
      </w:divBdr>
    </w:div>
    <w:div w:id="1658537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reg\Google%20Drive\Education\CQF\June%202014\Final%20Project\documentation\Front%20Mat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86D1B5-7A99-4719-BE2A-918717FF9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 Matter Template</Template>
  <TotalTime>2497</TotalTime>
  <Pages>31</Pages>
  <Words>2980</Words>
  <Characters>16991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Front Matter Template</vt:lpstr>
    </vt:vector>
  </TitlesOfParts>
  <Company>Microsoft</Company>
  <LinksUpToDate>false</LinksUpToDate>
  <CharactersWithSpaces>19932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Matter Template</dc:title>
  <dc:subject>Master Thesis or Report</dc:subject>
  <dc:creator>Greg</dc:creator>
  <cp:keywords>copyright, title, signature, abstract, dedication, acknowledgements, TOC, tables, figures, illustrations</cp:keywords>
  <cp:lastModifiedBy>Greg</cp:lastModifiedBy>
  <cp:revision>142</cp:revision>
  <cp:lastPrinted>2010-09-01T15:38:00Z</cp:lastPrinted>
  <dcterms:created xsi:type="dcterms:W3CDTF">2015-01-10T02:39:00Z</dcterms:created>
  <dcterms:modified xsi:type="dcterms:W3CDTF">2015-01-12T22:03:00Z</dcterms:modified>
</cp:coreProperties>
</file>