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line="230" w:lineRule="auto"/>
        <w:jc w:val="center"/>
      </w:pPr>
      <w:r>
        <w:rPr>
          <w:rFonts w:ascii="Book Antiqua" w:cs="Book Antiqua" w:eastAsia="Book Antiqua" w:hAnsi="Book Antiqua"/>
          <w:b/>
          <w:bCs/>
          <w:color w:val="1B3A6B"/>
          <w:sz w:val="38"/>
          <w:szCs w:val="38"/>
        </w:rPr>
        <w:t xml:space="preserve">GAURAV MAHALE</w:t>
      </w:r>
    </w:p>
    <w:p>
      <w:pPr>
        <w:pBdr>
          <w:bottom w:val="single" w:color="1B3A6B" w:sz="6" w:space="4"/>
        </w:pBdr>
        <w:spacing w:after="0" w:before="0" w:line="230" w:lineRule="auto"/>
        <w:jc w:val="center"/>
      </w:pPr>
      <w:r>
        <w:rPr>
          <w:rFonts w:ascii="Book Antiqua" w:cs="Book Antiqua" w:eastAsia="Book Antiqua" w:hAnsi="Book Antiqua"/>
          <w:color w:val="333333"/>
          <w:sz w:val="19"/>
          <w:szCs w:val="19"/>
        </w:rPr>
        <w:t xml:space="preserve">+91 9923540336  •  mahalegauravk@gmail.com  •  </w:t>
      </w:r>
      <w:hyperlink w:history="1" r:id="rIdwfdhqg6j92h1y-epmgbmx">
        <w:r>
          <w:rPr>
            <w:rFonts w:ascii="Book Antiqua" w:cs="Book Antiqua" w:eastAsia="Book Antiqua" w:hAnsi="Book Antiqua"/>
            <w:color w:val="1B3A6B"/>
            <w:sz w:val="19"/>
            <w:szCs w:val="19"/>
            <w:u w:val="single"/>
          </w:rPr>
          <w:t xml:space="preserve">LinkedIn Profile</w:t>
        </w:r>
      </w:hyperlink>
      <w:r>
        <w:rPr>
          <w:rFonts w:ascii="Book Antiqua" w:cs="Book Antiqua" w:eastAsia="Book Antiqua" w:hAnsi="Book Antiqua"/>
          <w:color w:val="333333"/>
          <w:sz w:val="19"/>
          <w:szCs w:val="19"/>
        </w:rPr>
        <w:t xml:space="preserve">  •  </w:t>
      </w:r>
      <w:hyperlink w:history="1" r:id="rId53nup1drd4ufgtjh8lk1v">
        <w:r>
          <w:rPr>
            <w:rFonts w:ascii="Book Antiqua" w:cs="Book Antiqua" w:eastAsia="Book Antiqua" w:hAnsi="Book Antiqua"/>
            <w:color w:val="1B3A6B"/>
            <w:sz w:val="19"/>
            <w:szCs w:val="19"/>
            <w:u w:val="single"/>
          </w:rPr>
          <w:t xml:space="preserve">Portfolio Website</w:t>
        </w:r>
      </w:hyperlink>
      <w:r>
        <w:rPr>
          <w:rFonts w:ascii="Book Antiqua" w:cs="Book Antiqua" w:eastAsia="Book Antiqua" w:hAnsi="Book Antiqua"/>
          <w:color w:val="333333"/>
          <w:sz w:val="19"/>
          <w:szCs w:val="19"/>
        </w:rPr>
        <w:t xml:space="preserve">  •  Pune</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Summary</w:t>
      </w:r>
    </w:p>
    <w:p>
      <w:pPr>
        <w:spacing w:after="0" w:before="55" w:line="240" w:lineRule="auto"/>
        <w:jc w:val="both"/>
      </w:pPr>
      <w:r>
        <w:rPr>
          <w:rFonts w:ascii="Book Antiqua" w:cs="Book Antiqua" w:eastAsia="Book Antiqua" w:hAnsi="Book Antiqua"/>
          <w:sz w:val="20"/>
          <w:szCs w:val="20"/>
        </w:rPr>
        <w:t xml:space="preserve">AI Product Builder | Fintech Domain Expert with 9+ years in corporate banking, credit risk, and portfolio management. Independently designed, built, and shipped multiple LLM-based platforms using Gemini, Claude, and Groq APIs — bridging deep fintech domain knowledge with hands-on AI product development. Experienced across the full product lifecycle: problem discovery, MVP scoping, prompt engineering, stakeholder alignment, and iterative releases. Seeking AI PM roles where finance expertise and practical AI-building experience combine to create transformative products.</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Skills</w:t>
      </w:r>
    </w:p>
    <w:p>
      <w:pPr>
        <w:spacing w:after="0" w:before="0" w:line="230" w:lineRule="auto"/>
      </w:pPr>
      <w:r>
        <w:rPr>
          <w:rFonts w:ascii="Book Antiqua" w:cs="Book Antiqua" w:eastAsia="Book Antiqua" w:hAnsi="Book Antiqua"/>
          <w:b/>
          <w:bCs/>
          <w:sz w:val="20"/>
          <w:szCs w:val="20"/>
        </w:rPr>
        <w:t xml:space="preserve">AI/Product: </w:t>
      </w:r>
      <w:r>
        <w:rPr>
          <w:rFonts w:ascii="Book Antiqua" w:cs="Book Antiqua" w:eastAsia="Book Antiqua" w:hAnsi="Book Antiqua"/>
          <w:sz w:val="20"/>
          <w:szCs w:val="20"/>
        </w:rPr>
        <w:t xml:space="preserve">Generative AI (LLMs), RAG, Fine-tuning, Prompt Engineering, MVP Development, PRD Writing, Product Roadmapping, OKRs, KPIs, Agile/Scrum, A/B Testing, User Story Mapping, Stakeholder Management, Go-to-Market Strategy, Product Analytics</w:t>
      </w:r>
    </w:p>
    <w:p>
      <w:pPr>
        <w:spacing w:after="0" w:before="0" w:line="230" w:lineRule="auto"/>
      </w:pPr>
      <w:r>
        <w:rPr>
          <w:rFonts w:ascii="Book Antiqua" w:cs="Book Antiqua" w:eastAsia="Book Antiqua" w:hAnsi="Book Antiqua"/>
          <w:b/>
          <w:bCs/>
          <w:sz w:val="20"/>
          <w:szCs w:val="20"/>
        </w:rPr>
        <w:t xml:space="preserve">Domain: </w:t>
      </w:r>
      <w:r>
        <w:rPr>
          <w:rFonts w:ascii="Book Antiqua" w:cs="Book Antiqua" w:eastAsia="Book Antiqua" w:hAnsi="Book Antiqua"/>
          <w:sz w:val="20"/>
          <w:szCs w:val="20"/>
        </w:rPr>
        <w:t xml:space="preserve">Corporate Credit Analysis, Credit Risk Assessment, Portfolio Management, Financial Modelling, NPA Resolution, Restructuring, Due Diligence, Regulatory Compliance</w:t>
      </w:r>
    </w:p>
    <w:p>
      <w:pPr>
        <w:spacing w:after="0" w:before="0" w:line="230" w:lineRule="auto"/>
      </w:pPr>
      <w:r>
        <w:rPr>
          <w:rFonts w:ascii="Book Antiqua" w:cs="Book Antiqua" w:eastAsia="Book Antiqua" w:hAnsi="Book Antiqua"/>
          <w:b/>
          <w:bCs/>
          <w:sz w:val="20"/>
          <w:szCs w:val="20"/>
        </w:rPr>
        <w:t xml:space="preserve">Technical: </w:t>
      </w:r>
      <w:r>
        <w:rPr>
          <w:rFonts w:ascii="Book Antiqua" w:cs="Book Antiqua" w:eastAsia="Book Antiqua" w:hAnsi="Book Antiqua"/>
          <w:sz w:val="20"/>
          <w:szCs w:val="20"/>
        </w:rPr>
        <w:t xml:space="preserve">Python, Next.js, SQL, Supabase, FastAPI, API Integration, Gemini API, Claude API, Groq API, PowerBI, Google Analytics, GitHub, Vercel, Figma</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Experience</w:t>
      </w:r>
    </w:p>
    <w:p>
      <w:pPr>
        <w:keepNext w:val="false"/>
        <w:tabs>
          <w:tab w:val="right" w:pos="10224"/>
        </w:tabs>
        <w:spacing w:after="0" w:before="80" w:line="230" w:lineRule="auto"/>
      </w:pPr>
      <w:r>
        <w:rPr>
          <w:rFonts w:ascii="Book Antiqua" w:cs="Book Antiqua" w:eastAsia="Book Antiqua" w:hAnsi="Book Antiqua"/>
          <w:b/>
          <w:bCs/>
          <w:sz w:val="20"/>
          <w:szCs w:val="20"/>
        </w:rPr>
        <w:t xml:space="preserve">AI Trainer &amp; Product Evaluator</w:t>
      </w:r>
      <w:r>
        <w:rPr>
          <w:rFonts w:ascii="Book Antiqua" w:cs="Book Antiqua" w:eastAsia="Book Antiqua" w:hAnsi="Book Antiqua"/>
          <w:sz w:val="20"/>
          <w:szCs w:val="20"/>
        </w:rPr>
        <w:t xml:space="preserve">  |  Pareto.AI (Part-time)</w:t>
      </w:r>
      <w:r>
        <w:rPr>
          <w:rFonts w:ascii="Book Antiqua" w:cs="Book Antiqua" w:eastAsia="Book Antiqua" w:hAnsi="Book Antiqua"/>
          <w:b/>
          <w:bCs/>
          <w:sz w:val="20"/>
          <w:szCs w:val="20"/>
        </w:rPr>
        <w:t xml:space="preserve">	Dec 2025 – Present</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Train and fine-tune Large Language Models on financial modelling, document generation, and presentation creation through structured evaluation (evals) and prompt engineering.</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Evaluate and iteratively improve AI outputs for corporate credit analysis, financial projections, and business documentation against expert benchmarks.</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Apply banking domain expertise to enhance LLM accuracy in corporate finance tasks, bridging the gap between raw model capability and real-world financial workflows.</w:t>
      </w:r>
    </w:p>
    <w:p>
      <w:pPr>
        <w:keepNext w:val="false"/>
        <w:tabs>
          <w:tab w:val="right" w:pos="10224"/>
        </w:tabs>
        <w:spacing w:after="0" w:before="80" w:line="230" w:lineRule="auto"/>
      </w:pPr>
      <w:r>
        <w:rPr>
          <w:rFonts w:ascii="Book Antiqua" w:cs="Book Antiqua" w:eastAsia="Book Antiqua" w:hAnsi="Book Antiqua"/>
          <w:b/>
          <w:bCs/>
          <w:sz w:val="20"/>
          <w:szCs w:val="20"/>
        </w:rPr>
        <w:t xml:space="preserve">Relationship Manager</w:t>
      </w:r>
      <w:r>
        <w:rPr>
          <w:rFonts w:ascii="Book Antiqua" w:cs="Book Antiqua" w:eastAsia="Book Antiqua" w:hAnsi="Book Antiqua"/>
          <w:sz w:val="20"/>
          <w:szCs w:val="20"/>
        </w:rPr>
        <w:t xml:space="preserve">  |  Yes Bank Limited</w:t>
      </w:r>
      <w:r>
        <w:rPr>
          <w:rFonts w:ascii="Book Antiqua" w:cs="Book Antiqua" w:eastAsia="Book Antiqua" w:hAnsi="Book Antiqua"/>
          <w:b/>
          <w:bCs/>
          <w:sz w:val="20"/>
          <w:szCs w:val="20"/>
        </w:rPr>
        <w:t xml:space="preserve">	Apr 2022 – Present</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Drove annual revenue of ~₹2.5 Cr and acquired ~4 new corporate clients per year across education, steel, textile, safety equipment, and gems &amp; jewellery sectors by defining a structured client engagement and onboarding model.</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Defined credit proposals and authored comprehensive Credit Appraisal Memorandums (CAMs) and term sheets for portfolios worth ₹500 Cr+, synthesising financial analysis, risk assessment, and industry research to support senior leadership decisions.</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Validated borrower needs through structured discovery — identifying pain points across working capital, term loans, and trade finance — and translated insights into tailored product proposals.</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Shipped lending solutions end-to-end by prioritising milestones and aligning credit, legal, compliance, and operations stakeholders from origination to disbursement.</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Reduced delinquency risk by building early-warning monitoring frameworks post-disbursement; drove proactive client engagement to improve portfolio retention and health.</w:t>
      </w:r>
    </w:p>
    <w:p>
      <w:pPr>
        <w:keepNext w:val="false"/>
        <w:tabs>
          <w:tab w:val="right" w:pos="10224"/>
        </w:tabs>
        <w:spacing w:after="0" w:before="80" w:line="230" w:lineRule="auto"/>
      </w:pPr>
      <w:r>
        <w:rPr>
          <w:rFonts w:ascii="Book Antiqua" w:cs="Book Antiqua" w:eastAsia="Book Antiqua" w:hAnsi="Book Antiqua"/>
          <w:b/>
          <w:bCs/>
          <w:sz w:val="20"/>
          <w:szCs w:val="20"/>
        </w:rPr>
        <w:t xml:space="preserve">Portfolio Manager</w:t>
      </w:r>
      <w:r>
        <w:rPr>
          <w:rFonts w:ascii="Book Antiqua" w:cs="Book Antiqua" w:eastAsia="Book Antiqua" w:hAnsi="Book Antiqua"/>
          <w:sz w:val="20"/>
          <w:szCs w:val="20"/>
        </w:rPr>
        <w:t xml:space="preserve">  |  HDFC Bank Limited</w:t>
      </w:r>
      <w:r>
        <w:rPr>
          <w:rFonts w:ascii="Book Antiqua" w:cs="Book Antiqua" w:eastAsia="Book Antiqua" w:hAnsi="Book Antiqua"/>
          <w:b/>
          <w:bCs/>
          <w:sz w:val="20"/>
          <w:szCs w:val="20"/>
        </w:rPr>
        <w:t xml:space="preserve">	Jan 2020 – Apr 2022</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Designed data-driven solutions to minimise delinquency risk using predictive analytics and early warning signals, reducing portfolio stress across Maharashtra and Goa.</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Built and maintained PowerBI and Excel dashboards to track default probabilities, portfolio health, and loan concentration risk — enabling real-time decision-making for senior management.</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Created sector-specific credit and financial models for real estate, energy, and hospitality segments, enabling faster and more accurate underwriting decisions across diverse customer profiles.</w:t>
      </w:r>
    </w:p>
    <w:p>
      <w:pPr>
        <w:keepNext/>
        <w:tabs>
          <w:tab w:val="right" w:pos="10224"/>
        </w:tabs>
        <w:spacing w:after="0" w:before="80" w:line="230" w:lineRule="auto"/>
      </w:pPr>
      <w:r>
        <w:rPr>
          <w:rFonts w:ascii="Book Antiqua" w:cs="Book Antiqua" w:eastAsia="Book Antiqua" w:hAnsi="Book Antiqua"/>
          <w:b/>
          <w:bCs/>
          <w:sz w:val="20"/>
          <w:szCs w:val="20"/>
        </w:rPr>
        <w:t xml:space="preserve">Operations Manager</w:t>
      </w:r>
      <w:r>
        <w:rPr>
          <w:rFonts w:ascii="Book Antiqua" w:cs="Book Antiqua" w:eastAsia="Book Antiqua" w:hAnsi="Book Antiqua"/>
          <w:sz w:val="20"/>
          <w:szCs w:val="20"/>
        </w:rPr>
        <w:t xml:space="preserve">  |  Suraksha Asset Reconstruction Ltd.</w:t>
      </w:r>
      <w:r>
        <w:rPr>
          <w:rFonts w:ascii="Book Antiqua" w:cs="Book Antiqua" w:eastAsia="Book Antiqua" w:hAnsi="Book Antiqua"/>
          <w:b/>
          <w:bCs/>
          <w:sz w:val="20"/>
          <w:szCs w:val="20"/>
        </w:rPr>
        <w:t xml:space="preserve">	Sep 2017 – Jan 2020</w:t>
      </w:r>
    </w:p>
    <w:p>
      <w:pPr>
        <w:pStyle w:val="ListParagraph"/>
        <w:keepNext/>
        <w:numPr>
          <w:ilvl w:val="0"/>
          <w:numId w:val="2"/>
        </w:numPr>
        <w:spacing w:after="0" w:before="0" w:line="230" w:lineRule="auto"/>
        <w:jc w:val="both"/>
      </w:pPr>
      <w:r>
        <w:rPr>
          <w:rFonts w:ascii="Book Antiqua" w:cs="Book Antiqua" w:eastAsia="Book Antiqua" w:hAnsi="Book Antiqua"/>
          <w:sz w:val="20"/>
          <w:szCs w:val="20"/>
        </w:rPr>
        <w:t xml:space="preserve">Analysed financial health and recovery potential of NPA accounts offered for sale by scheduled commercial banks, assessing credit risk and resolution feasibility for portfolios up to ₹9,000 Cr.</w:t>
      </w:r>
    </w:p>
    <w:p>
      <w:pPr>
        <w:pStyle w:val="ListParagraph"/>
        <w:keepNext/>
        <w:numPr>
          <w:ilvl w:val="0"/>
          <w:numId w:val="2"/>
        </w:numPr>
        <w:spacing w:after="0" w:before="0" w:line="230" w:lineRule="auto"/>
        <w:jc w:val="both"/>
      </w:pPr>
      <w:r>
        <w:rPr>
          <w:rFonts w:ascii="Book Antiqua" w:cs="Book Antiqua" w:eastAsia="Book Antiqua" w:hAnsi="Book Antiqua"/>
          <w:sz w:val="20"/>
          <w:szCs w:val="20"/>
        </w:rPr>
        <w:t xml:space="preserve">Supported acquisition of a stressed account with debt of ~₹9,000 Cr under the Insolvency and Bankruptcy Code (IBC), coordinating between bank officials, legal counsel, and management.</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Conducted due diligence and loan documentation for cases exceeding ₹50 Cr, ensuring compliance with regulatory requirements and internal credit policies.</w:t>
      </w:r>
    </w:p>
    <w:p>
      <w:pPr>
        <w:keepNext/>
        <w:pageBreakBefore/>
        <w:tabs>
          <w:tab w:val="right" w:pos="10224"/>
        </w:tabs>
        <w:spacing w:after="0" w:before="80" w:line="230" w:lineRule="auto"/>
      </w:pPr>
      <w:r>
        <w:rPr>
          <w:rFonts w:ascii="Book Antiqua" w:cs="Book Antiqua" w:eastAsia="Book Antiqua" w:hAnsi="Book Antiqua"/>
          <w:b/>
          <w:bCs/>
          <w:sz w:val="20"/>
          <w:szCs w:val="20"/>
        </w:rPr>
        <w:t xml:space="preserve">Consultant</w:t>
      </w:r>
      <w:r>
        <w:rPr>
          <w:rFonts w:ascii="Book Antiqua" w:cs="Book Antiqua" w:eastAsia="Book Antiqua" w:hAnsi="Book Antiqua"/>
          <w:sz w:val="20"/>
          <w:szCs w:val="20"/>
        </w:rPr>
        <w:t xml:space="preserve">  |  Tata Trusts</w:t>
      </w:r>
      <w:r>
        <w:rPr>
          <w:rFonts w:ascii="Book Antiqua" w:cs="Book Antiqua" w:eastAsia="Book Antiqua" w:hAnsi="Book Antiqua"/>
          <w:b/>
          <w:bCs/>
          <w:sz w:val="20"/>
          <w:szCs w:val="20"/>
        </w:rPr>
        <w:t xml:space="preserve">	May 2017 – Sep 2017</w:t>
      </w:r>
    </w:p>
    <w:p>
      <w:pPr>
        <w:pStyle w:val="ListParagraph"/>
        <w:keepNext/>
        <w:numPr>
          <w:ilvl w:val="0"/>
          <w:numId w:val="2"/>
        </w:numPr>
        <w:spacing w:after="0" w:before="0" w:line="230" w:lineRule="auto"/>
        <w:jc w:val="both"/>
      </w:pPr>
      <w:r>
        <w:rPr>
          <w:rFonts w:ascii="Book Antiqua" w:cs="Book Antiqua" w:eastAsia="Book Antiqua" w:hAnsi="Book Antiqua"/>
          <w:sz w:val="20"/>
          <w:szCs w:val="20"/>
        </w:rPr>
        <w:t xml:space="preserve">Deployed field operations across Maharashtra, establishing a network of extension officers (BRCs &amp; CRCs) to accelerate MIS data entry; shifted region from last to 9th position in IHHL count within 2 months.</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Initiated partnership with Rotary Club to build handwash stations in 1,200 government schools, improving community hygiene outcomes through structured stakeholder engagement and programme management.</w:t>
      </w:r>
    </w:p>
    <w:p>
      <w:pPr>
        <w:keepNext w:val="false"/>
        <w:tabs>
          <w:tab w:val="right" w:pos="10224"/>
        </w:tabs>
        <w:spacing w:after="0" w:before="80" w:line="230" w:lineRule="auto"/>
      </w:pPr>
      <w:r>
        <w:rPr>
          <w:rFonts w:ascii="Book Antiqua" w:cs="Book Antiqua" w:eastAsia="Book Antiqua" w:hAnsi="Book Antiqua"/>
          <w:b/>
          <w:bCs/>
          <w:sz w:val="20"/>
          <w:szCs w:val="20"/>
        </w:rPr>
        <w:t xml:space="preserve">Intern</w:t>
      </w:r>
      <w:r>
        <w:rPr>
          <w:rFonts w:ascii="Book Antiqua" w:cs="Book Antiqua" w:eastAsia="Book Antiqua" w:hAnsi="Book Antiqua"/>
          <w:sz w:val="20"/>
          <w:szCs w:val="20"/>
        </w:rPr>
        <w:t xml:space="preserve">  |  Dexter Consultancy</w:t>
      </w:r>
      <w:r>
        <w:rPr>
          <w:rFonts w:ascii="Book Antiqua" w:cs="Book Antiqua" w:eastAsia="Book Antiqua" w:hAnsi="Book Antiqua"/>
          <w:b/>
          <w:bCs/>
          <w:sz w:val="20"/>
          <w:szCs w:val="20"/>
        </w:rPr>
        <w:t xml:space="preserve">	May 2016 – Jun 2016</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Conducted primary research across ~100 potential customers (3 categories) for an electric bike project, generating insights that drove design selection; assessed online trading viability across ~25 retail stores, contributing to channel strategy.</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Researched and analysed feasibility of 2 projects across Pune, resulting in selection of 1 project for execution based on structured viability assessment.</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Projects</w:t>
      </w:r>
    </w:p>
    <w:p>
      <w:pPr>
        <w:tabs>
          <w:tab w:val="right" w:pos="10224"/>
        </w:tabs>
        <w:spacing w:after="0" w:before="80" w:line="230" w:lineRule="auto"/>
      </w:pPr>
      <w:r>
        <w:rPr>
          <w:rFonts w:ascii="Book Antiqua" w:cs="Book Antiqua" w:eastAsia="Book Antiqua" w:hAnsi="Book Antiqua"/>
          <w:b/>
          <w:bCs/>
          <w:sz w:val="20"/>
          <w:szCs w:val="20"/>
        </w:rPr>
        <w:t xml:space="preserve">CreditGuardAI — AI-Powered Credit Intelligence Platform</w:t>
      </w:r>
      <w:r>
        <w:rPr>
          <w:rFonts w:ascii="Book Antiqua" w:cs="Book Antiqua" w:eastAsia="Book Antiqua" w:hAnsi="Book Antiqua"/>
          <w:b/>
          <w:bCs/>
          <w:sz w:val="20"/>
          <w:szCs w:val="20"/>
        </w:rPr>
        <w:t xml:space="preserve">	</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Identified the problem: CAM preparation for a single borrower takes 4–6 hours of analyst time due to manual extraction of financials from annual reports. Defined the product vision, scoped the MVP, and mapped user journeys for relationship managers and credit analysts as primary personas.</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Drove end-to-end product delivery — from requirements definition and LLM prompt design for financial data extraction, to overseeing UI/UX, validating output accuracy against real CAMs, and iterating based on self-testing across live banking use cases. Shipped with multi-format exports (Excel &amp; PDF) aligned to bank reporting standards.</w:t>
      </w:r>
    </w:p>
    <w:p>
      <w:pPr>
        <w:spacing w:after="60" w:before="0" w:line="230" w:lineRule="auto"/>
      </w:pPr>
      <w:r>
        <w:rPr>
          <w:rFonts w:ascii="Book Antiqua" w:cs="Book Antiqua" w:eastAsia="Book Antiqua" w:hAnsi="Book Antiqua"/>
          <w:b/>
          <w:bCs/>
          <w:i/>
          <w:iCs/>
          <w:sz w:val="18"/>
          <w:szCs w:val="18"/>
        </w:rPr>
        <w:t xml:space="preserve">Tech Stack: </w:t>
      </w:r>
      <w:r>
        <w:rPr>
          <w:rFonts w:ascii="Book Antiqua" w:cs="Book Antiqua" w:eastAsia="Book Antiqua" w:hAnsi="Book Antiqua"/>
          <w:i/>
          <w:iCs/>
          <w:color w:val="444444"/>
          <w:sz w:val="18"/>
          <w:szCs w:val="18"/>
        </w:rPr>
        <w:t xml:space="preserve">Python, FastAPI, Next.js 16, Supabase, Google Gemini API, Claude API, SQLite, OpenPyXL, PDFMiner, GitHub</w:t>
      </w:r>
    </w:p>
    <w:p>
      <w:pPr>
        <w:tabs>
          <w:tab w:val="right" w:pos="10224"/>
        </w:tabs>
        <w:spacing w:after="0" w:before="80" w:line="230" w:lineRule="auto"/>
      </w:pPr>
      <w:r>
        <w:rPr>
          <w:rFonts w:ascii="Book Antiqua" w:cs="Book Antiqua" w:eastAsia="Book Antiqua" w:hAnsi="Book Antiqua"/>
          <w:b/>
          <w:bCs/>
          <w:sz w:val="20"/>
          <w:szCs w:val="20"/>
        </w:rPr>
        <w:t xml:space="preserve">AI-Spirit (ai-spirit.in) — AI Persona Interaction Platform</w:t>
      </w:r>
      <w:r>
        <w:rPr>
          <w:rFonts w:ascii="Book Antiqua" w:cs="Book Antiqua" w:eastAsia="Book Antiqua" w:hAnsi="Book Antiqua"/>
          <w:b/>
          <w:bCs/>
          <w:sz w:val="20"/>
          <w:szCs w:val="20"/>
        </w:rPr>
        <w:t xml:space="preserve">	</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Conceived and launched a B2C AI product serving 500+ monthly users; defined the product strategy, persona taxonomy (6 categories, 20+ personas), monetisation model (freemium + Razorpay), and go-to-market approach — treating each launch as a product sprint with defined KPIs for engagement and retention.</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Ran iterative product development cycles: prioritised the feature backlog (memory system, voice cloning, mobile UI, real-time news awareness), wrote user stories, validated with self-testing and early user feedback, and shipped incremental releases — owning the full product lifecycle from ideation to live deployment on Vercel.</w:t>
      </w:r>
    </w:p>
    <w:p>
      <w:pPr>
        <w:spacing w:after="60" w:before="0" w:line="230" w:lineRule="auto"/>
      </w:pPr>
      <w:r>
        <w:rPr>
          <w:rFonts w:ascii="Book Antiqua" w:cs="Book Antiqua" w:eastAsia="Book Antiqua" w:hAnsi="Book Antiqua"/>
          <w:b/>
          <w:bCs/>
          <w:i/>
          <w:iCs/>
          <w:sz w:val="18"/>
          <w:szCs w:val="18"/>
        </w:rPr>
        <w:t xml:space="preserve">Tech Stack: </w:t>
      </w:r>
      <w:r>
        <w:rPr>
          <w:rFonts w:ascii="Book Antiqua" w:cs="Book Antiqua" w:eastAsia="Book Antiqua" w:hAnsi="Book Antiqua"/>
          <w:i/>
          <w:iCs/>
          <w:color w:val="444444"/>
          <w:sz w:val="18"/>
          <w:szCs w:val="18"/>
        </w:rPr>
        <w:t xml:space="preserve">Next.js 14, Supabase, Google Gemini 1.5 Flash, Groq Llama 3.3 70B, Vercel, Google OAuth, Tailwind CSS, ElevenLabs</w:t>
      </w:r>
    </w:p>
    <w:p>
      <w:pPr>
        <w:tabs>
          <w:tab w:val="right" w:pos="10224"/>
        </w:tabs>
        <w:spacing w:after="0" w:before="80" w:line="230" w:lineRule="auto"/>
      </w:pPr>
      <w:r>
        <w:rPr>
          <w:rFonts w:ascii="Book Antiqua" w:cs="Book Antiqua" w:eastAsia="Book Antiqua" w:hAnsi="Book Antiqua"/>
          <w:b/>
          <w:bCs/>
          <w:sz w:val="20"/>
          <w:szCs w:val="20"/>
        </w:rPr>
        <w:t xml:space="preserve">AI Job Search Agent — Automated Multi-Portal Job Discovery</w:t>
      </w:r>
      <w:r>
        <w:rPr>
          <w:rFonts w:ascii="Book Antiqua" w:cs="Book Antiqua" w:eastAsia="Book Antiqua" w:hAnsi="Book Antiqua"/>
          <w:b/>
          <w:bCs/>
          <w:sz w:val="20"/>
          <w:szCs w:val="20"/>
        </w:rPr>
        <w:t xml:space="preserve">	</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Defined the product as a solution to a personal pain point: noise and inefficiency in manual job searching across fragmented portals. Designed the end-to-end user experience — preference configuration, AI-driven relevance scoring (0–100), daily digest format, and notification delivery via Telegram — prioritising zero-friction daily use.</w:t>
      </w:r>
    </w:p>
    <w:p>
      <w:pPr>
        <w:pStyle w:val="ListParagraph"/>
        <w:keepNext w:val="false"/>
        <w:numPr>
          <w:ilvl w:val="0"/>
          <w:numId w:val="2"/>
        </w:numPr>
        <w:spacing w:after="0" w:before="0" w:line="230" w:lineRule="auto"/>
        <w:jc w:val="both"/>
      </w:pPr>
      <w:r>
        <w:rPr>
          <w:rFonts w:ascii="Book Antiqua" w:cs="Book Antiqua" w:eastAsia="Book Antiqua" w:hAnsi="Book Antiqua"/>
          <w:sz w:val="20"/>
          <w:szCs w:val="20"/>
        </w:rPr>
        <w:t xml:space="preserve">Validated product-market fit through self-use and iterated on the scoring model, digest layout, and portal coverage based on real output quality; shipped a web dashboard for settings management and digest history, treating each iteration as a product release with defined success criteria.</w:t>
      </w:r>
    </w:p>
    <w:p>
      <w:pPr>
        <w:spacing w:after="60" w:before="0" w:line="230" w:lineRule="auto"/>
      </w:pPr>
      <w:r>
        <w:rPr>
          <w:rFonts w:ascii="Book Antiqua" w:cs="Book Antiqua" w:eastAsia="Book Antiqua" w:hAnsi="Book Antiqua"/>
          <w:b/>
          <w:bCs/>
          <w:i/>
          <w:iCs/>
          <w:sz w:val="18"/>
          <w:szCs w:val="18"/>
        </w:rPr>
        <w:t xml:space="preserve">Tech Stack: </w:t>
      </w:r>
      <w:r>
        <w:rPr>
          <w:rFonts w:ascii="Book Antiqua" w:cs="Book Antiqua" w:eastAsia="Book Antiqua" w:hAnsi="Book Antiqua"/>
          <w:i/>
          <w:iCs/>
          <w:color w:val="444444"/>
          <w:sz w:val="18"/>
          <w:szCs w:val="18"/>
        </w:rPr>
        <w:t xml:space="preserve">Python, Flask, Ollama/Mistral, Selenium, SQLite, APScheduler, Telegram Bot API, BeautifulSoup</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Education</w:t>
      </w:r>
    </w:p>
    <w:p>
      <w:pPr>
        <w:tabs>
          <w:tab w:val="right" w:pos="10224"/>
        </w:tabs>
        <w:spacing w:after="0" w:before="60" w:line="230" w:lineRule="auto"/>
      </w:pPr>
      <w:r>
        <w:rPr>
          <w:rFonts w:ascii="Book Antiqua" w:cs="Book Antiqua" w:eastAsia="Book Antiqua" w:hAnsi="Book Antiqua"/>
          <w:b/>
          <w:bCs/>
          <w:sz w:val="20"/>
          <w:szCs w:val="20"/>
        </w:rPr>
        <w:t xml:space="preserve">PGPM (MBA Equivalent)</w:t>
      </w:r>
      <w:r>
        <w:rPr>
          <w:rFonts w:ascii="Book Antiqua" w:cs="Book Antiqua" w:eastAsia="Book Antiqua" w:hAnsi="Book Antiqua"/>
          <w:sz w:val="20"/>
          <w:szCs w:val="20"/>
        </w:rPr>
        <w:t xml:space="preserve">  —  IIM Sirmaur</w:t>
      </w:r>
      <w:r>
        <w:rPr>
          <w:rFonts w:ascii="Book Antiqua" w:cs="Book Antiqua" w:eastAsia="Book Antiqua" w:hAnsi="Book Antiqua"/>
          <w:sz w:val="20"/>
          <w:szCs w:val="20"/>
        </w:rPr>
        <w:t xml:space="preserve">	Aug 2015 – Apr 2017</w:t>
      </w:r>
    </w:p>
    <w:p>
      <w:pPr>
        <w:tabs>
          <w:tab w:val="right" w:pos="10224"/>
        </w:tabs>
        <w:spacing w:after="0" w:before="60" w:line="230" w:lineRule="auto"/>
      </w:pPr>
      <w:r>
        <w:rPr>
          <w:rFonts w:ascii="Book Antiqua" w:cs="Book Antiqua" w:eastAsia="Book Antiqua" w:hAnsi="Book Antiqua"/>
          <w:b/>
          <w:bCs/>
          <w:sz w:val="20"/>
          <w:szCs w:val="20"/>
        </w:rPr>
        <w:t xml:space="preserve">B.E. – Electronics &amp; Telecommunication</w:t>
      </w:r>
      <w:r>
        <w:rPr>
          <w:rFonts w:ascii="Book Antiqua" w:cs="Book Antiqua" w:eastAsia="Book Antiqua" w:hAnsi="Book Antiqua"/>
          <w:sz w:val="20"/>
          <w:szCs w:val="20"/>
        </w:rPr>
        <w:t xml:space="preserve">  —  University of Pune</w:t>
      </w:r>
      <w:r>
        <w:rPr>
          <w:rFonts w:ascii="Book Antiqua" w:cs="Book Antiqua" w:eastAsia="Book Antiqua" w:hAnsi="Book Antiqua"/>
          <w:sz w:val="20"/>
          <w:szCs w:val="20"/>
        </w:rPr>
        <w:t xml:space="preserve">	Aug 2010 – Apr 2014</w:t>
      </w:r>
    </w:p>
    <w:p>
      <w:pPr>
        <w:pBdr>
          <w:bottom w:val="single" w:color="1B3A6B" w:sz="8" w:space="2"/>
        </w:pBdr>
        <w:spacing w:after="55" w:before="130" w:line="230" w:lineRule="auto"/>
      </w:pPr>
      <w:r>
        <w:rPr>
          <w:rFonts w:ascii="Book Antiqua" w:cs="Book Antiqua" w:eastAsia="Book Antiqua" w:hAnsi="Book Antiqua"/>
          <w:b/>
          <w:bCs/>
          <w:caps/>
          <w:color w:val="1B3A6B"/>
          <w:sz w:val="21"/>
          <w:szCs w:val="21"/>
        </w:rPr>
        <w:t xml:space="preserve">Certifications</w:t>
      </w:r>
    </w:p>
    <w:p>
      <w:pPr>
        <w:spacing w:after="0" w:before="55" w:line="230" w:lineRule="auto"/>
      </w:pPr>
      <w:r>
        <w:rPr>
          <w:rFonts w:ascii="Book Antiqua" w:cs="Book Antiqua" w:eastAsia="Book Antiqua" w:hAnsi="Book Antiqua"/>
          <w:b/>
          <w:bCs/>
          <w:sz w:val="20"/>
          <w:szCs w:val="20"/>
        </w:rPr>
        <w:t xml:space="preserve">IBM AI Product Management</w:t>
      </w:r>
      <w:r>
        <w:rPr>
          <w:rFonts w:ascii="Book Antiqua" w:cs="Book Antiqua" w:eastAsia="Book Antiqua" w:hAnsi="Book Antiqua"/>
          <w:sz w:val="20"/>
          <w:szCs w:val="20"/>
        </w:rPr>
        <w:t xml:space="preserve">  (Coursera),    </w:t>
      </w:r>
      <w:r>
        <w:rPr>
          <w:rFonts w:ascii="Book Antiqua" w:cs="Book Antiqua" w:eastAsia="Book Antiqua" w:hAnsi="Book Antiqua"/>
          <w:b/>
          <w:bCs/>
          <w:sz w:val="20"/>
          <w:szCs w:val="20"/>
        </w:rPr>
        <w:t xml:space="preserve">HelloPM Product Management Certification</w:t>
      </w:r>
    </w:p>
    <w:sectPr>
      <w:pgSz w:w="12240" w:h="15840" w:orient="portrait"/>
      <w:pgMar w:top="756" w:right="1008" w:bottom="756"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0" w:before="0" w:line="230" w:lineRule="auto"/>
        <w:ind w:left="380" w:hanging="38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000000"/>
        <w:sz w:val="20"/>
        <w:szCs w:val="20"/>
      </w:rPr>
    </w:rPrDefault>
    <w:pPrDefault>
      <w:pPr>
        <w:spacing w:after="0" w:befor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fdhqg6j92h1y-epmgbmx" Type="http://schemas.openxmlformats.org/officeDocument/2006/relationships/hyperlink" Target="https://www.linkedin.com/in/mahalegauravk" TargetMode="External"/><Relationship Id="rId53nup1drd4ufgtjh8lk1v" Type="http://schemas.openxmlformats.org/officeDocument/2006/relationships/hyperlink" Target="https://gaurav-mahale-portfolio.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2026-04-03T20:16:18.497Z</dcterms:created>
  <dcterms:modified xsi:type="dcterms:W3CDTF">2026-04-03T20:16:18.498Z</dcterms:modified>
</cp:coreProperties>
</file>

<file path=docProps/custom.xml><?xml version="1.0" encoding="utf-8"?>
<Properties xmlns="http://schemas.openxmlformats.org/officeDocument/2006/custom-properties" xmlns:vt="http://schemas.openxmlformats.org/officeDocument/2006/docPropsVTypes"/>
</file>