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6131" w14:textId="732BAD7B" w:rsidR="00476C56" w:rsidRDefault="00476C56" w:rsidP="008B4FD1">
      <w:pPr>
        <w:spacing w:line="480" w:lineRule="auto"/>
        <w:rPr>
          <w:b/>
          <w:bCs/>
          <w:sz w:val="36"/>
          <w:szCs w:val="36"/>
          <w:lang w:val="en-US"/>
        </w:rPr>
      </w:pPr>
      <w:r w:rsidRPr="006D4542">
        <w:rPr>
          <w:lang w:val="en-US"/>
        </w:rPr>
        <w:t>Gabriela Serrano</w:t>
      </w:r>
      <w:r>
        <w:br/>
      </w:r>
      <w:r w:rsidRPr="006D4542">
        <w:rPr>
          <w:lang w:val="en-US"/>
        </w:rPr>
        <w:t>JuanCarlos Jimenez</w:t>
      </w:r>
      <w:r>
        <w:br/>
      </w:r>
      <w:r w:rsidRPr="006D4542">
        <w:rPr>
          <w:lang w:val="en-US"/>
        </w:rPr>
        <w:t>CSC 597 - Statistical Learning with Applications in R</w:t>
      </w:r>
      <w:r>
        <w:br/>
      </w:r>
      <w:r w:rsidRPr="006D4542">
        <w:rPr>
          <w:lang w:val="en-US"/>
        </w:rPr>
        <w:t>Professor Vanessa Aguiar-Pulido</w:t>
      </w:r>
    </w:p>
    <w:p w14:paraId="74ADCEA3" w14:textId="66C4786E" w:rsidR="00476C56" w:rsidRDefault="00476C56" w:rsidP="38278F6F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>
        <w:br/>
      </w:r>
      <w:r w:rsidR="00486F75">
        <w:rPr>
          <w:b/>
          <w:bCs/>
          <w:sz w:val="36"/>
          <w:szCs w:val="36"/>
          <w:lang w:val="en-US"/>
        </w:rPr>
        <w:t>Symptom</w:t>
      </w:r>
      <w:r w:rsidR="00DF21B7">
        <w:rPr>
          <w:b/>
          <w:bCs/>
          <w:sz w:val="36"/>
          <w:szCs w:val="36"/>
          <w:lang w:val="en-US"/>
        </w:rPr>
        <w:t xml:space="preserve"> Significance</w:t>
      </w:r>
      <w:r w:rsidR="00732B7D">
        <w:rPr>
          <w:b/>
          <w:bCs/>
          <w:sz w:val="36"/>
          <w:szCs w:val="36"/>
          <w:lang w:val="en-US"/>
        </w:rPr>
        <w:t xml:space="preserve"> in Diabetes </w:t>
      </w:r>
      <w:r w:rsidR="007F4893">
        <w:rPr>
          <w:b/>
          <w:bCs/>
          <w:sz w:val="36"/>
          <w:szCs w:val="36"/>
          <w:lang w:val="en-US"/>
        </w:rPr>
        <w:t>Diagnosis</w:t>
      </w:r>
    </w:p>
    <w:p w14:paraId="6453E0F9" w14:textId="73379AB1" w:rsidR="00476C56" w:rsidRPr="006D4542" w:rsidRDefault="00476C56" w:rsidP="008B4FD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4542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6EC721CD" w14:textId="75B218D6" w:rsidR="00821D9F" w:rsidRPr="006D4542" w:rsidRDefault="00FD510C" w:rsidP="008B4FD1">
      <w:pPr>
        <w:spacing w:line="480" w:lineRule="auto"/>
        <w:ind w:firstLine="708"/>
        <w:jc w:val="both"/>
        <w:rPr>
          <w:lang w:val="en-US"/>
        </w:rPr>
      </w:pPr>
      <w:r w:rsidRPr="006D4542">
        <w:rPr>
          <w:lang w:val="en-US"/>
        </w:rPr>
        <w:t xml:space="preserve">The </w:t>
      </w:r>
      <w:r w:rsidR="00FC7589" w:rsidRPr="006D4542">
        <w:rPr>
          <w:lang w:val="en-US"/>
        </w:rPr>
        <w:t xml:space="preserve">human body </w:t>
      </w:r>
      <w:r w:rsidR="00C93A7B" w:rsidRPr="006D4542">
        <w:rPr>
          <w:lang w:val="en-US"/>
        </w:rPr>
        <w:t xml:space="preserve">collectively </w:t>
      </w:r>
      <w:r w:rsidR="00476C56" w:rsidRPr="006D4542">
        <w:rPr>
          <w:lang w:val="en-US"/>
        </w:rPr>
        <w:t>utilizes its</w:t>
      </w:r>
      <w:r w:rsidR="00FC7589" w:rsidRPr="006D4542">
        <w:rPr>
          <w:lang w:val="en-US"/>
        </w:rPr>
        <w:t xml:space="preserve"> many systems</w:t>
      </w:r>
      <w:r w:rsidRPr="006D4542">
        <w:rPr>
          <w:lang w:val="en-US"/>
        </w:rPr>
        <w:t xml:space="preserve"> to maintain homeostasis</w:t>
      </w:r>
      <w:r w:rsidR="00FC7589" w:rsidRPr="006D4542">
        <w:rPr>
          <w:lang w:val="en-US"/>
        </w:rPr>
        <w:t xml:space="preserve">. </w:t>
      </w:r>
      <w:r w:rsidR="00486545" w:rsidRPr="006D4542">
        <w:rPr>
          <w:lang w:val="en-US"/>
        </w:rPr>
        <w:t>Because of this</w:t>
      </w:r>
      <w:r w:rsidR="00667CEB" w:rsidRPr="006D4542">
        <w:rPr>
          <w:lang w:val="en-US"/>
        </w:rPr>
        <w:t xml:space="preserve"> complex nature, there lies the possibility </w:t>
      </w:r>
      <w:r w:rsidR="00854BC1" w:rsidRPr="006D4542">
        <w:rPr>
          <w:lang w:val="en-US"/>
        </w:rPr>
        <w:t xml:space="preserve">of </w:t>
      </w:r>
      <w:r w:rsidR="00FD1C6C" w:rsidRPr="006D4542">
        <w:rPr>
          <w:lang w:val="en-US"/>
        </w:rPr>
        <w:t xml:space="preserve">pathological </w:t>
      </w:r>
      <w:r w:rsidR="00854BC1" w:rsidRPr="006D4542">
        <w:rPr>
          <w:lang w:val="en-US"/>
        </w:rPr>
        <w:t>disturbances</w:t>
      </w:r>
      <w:r w:rsidR="00667CEB" w:rsidRPr="006D4542">
        <w:rPr>
          <w:lang w:val="en-US"/>
        </w:rPr>
        <w:t xml:space="preserve"> due to one or many factors</w:t>
      </w:r>
      <w:r w:rsidR="00476C56" w:rsidRPr="006D4542">
        <w:rPr>
          <w:lang w:val="en-US"/>
        </w:rPr>
        <w:t>, which can be devastating given the right circumstances</w:t>
      </w:r>
      <w:r w:rsidR="00667CEB" w:rsidRPr="006D4542">
        <w:rPr>
          <w:lang w:val="en-US"/>
        </w:rPr>
        <w:t xml:space="preserve">. </w:t>
      </w:r>
      <w:r w:rsidR="00476C56" w:rsidRPr="006D4542">
        <w:rPr>
          <w:lang w:val="en-US"/>
        </w:rPr>
        <w:t>A</w:t>
      </w:r>
      <w:r w:rsidR="00084F45" w:rsidRPr="006D4542">
        <w:rPr>
          <w:lang w:val="en-US"/>
        </w:rPr>
        <w:t xml:space="preserve"> </w:t>
      </w:r>
      <w:r w:rsidR="00476C56" w:rsidRPr="006D4542">
        <w:rPr>
          <w:lang w:val="en-US"/>
        </w:rPr>
        <w:t>terrifying example of this is the</w:t>
      </w:r>
      <w:r w:rsidR="0018379C" w:rsidRPr="006D4542">
        <w:rPr>
          <w:lang w:val="en-US"/>
        </w:rPr>
        <w:t xml:space="preserve"> </w:t>
      </w:r>
      <w:r w:rsidR="00854BC1" w:rsidRPr="006D4542">
        <w:rPr>
          <w:lang w:val="en-US"/>
        </w:rPr>
        <w:t xml:space="preserve">Diabetes </w:t>
      </w:r>
      <w:r w:rsidR="00821D9F" w:rsidRPr="006D4542">
        <w:rPr>
          <w:lang w:val="en-US"/>
        </w:rPr>
        <w:t xml:space="preserve">Mellitus (DM) </w:t>
      </w:r>
      <w:r w:rsidR="00A750CA" w:rsidRPr="006D4542">
        <w:rPr>
          <w:lang w:val="en-US"/>
        </w:rPr>
        <w:t>disease</w:t>
      </w:r>
      <w:r w:rsidR="00476C56" w:rsidRPr="006D4542">
        <w:rPr>
          <w:lang w:val="en-US"/>
        </w:rPr>
        <w:t xml:space="preserve">. DM reduces the body’s ability to </w:t>
      </w:r>
      <w:r w:rsidR="00391887">
        <w:rPr>
          <w:lang w:val="en-US"/>
        </w:rPr>
        <w:t xml:space="preserve">use Insulin </w:t>
      </w:r>
      <w:r w:rsidR="00BE5A89">
        <w:rPr>
          <w:lang w:val="en-US"/>
        </w:rPr>
        <w:t xml:space="preserve">to </w:t>
      </w:r>
      <w:r w:rsidR="00476C56" w:rsidRPr="006D4542">
        <w:rPr>
          <w:lang w:val="en-US"/>
        </w:rPr>
        <w:t xml:space="preserve">regulate blood glucose levels, which </w:t>
      </w:r>
      <w:r w:rsidR="006B0CEC" w:rsidRPr="006D4542">
        <w:rPr>
          <w:lang w:val="en-US"/>
        </w:rPr>
        <w:t xml:space="preserve">play an </w:t>
      </w:r>
      <w:r w:rsidR="00476C56" w:rsidRPr="006D4542">
        <w:rPr>
          <w:lang w:val="en-US"/>
        </w:rPr>
        <w:t xml:space="preserve">essential part of our bodies’ balance. </w:t>
      </w:r>
      <w:r w:rsidR="00A56263" w:rsidRPr="006D4542">
        <w:rPr>
          <w:lang w:val="en-US"/>
        </w:rPr>
        <w:t>I</w:t>
      </w:r>
      <w:r w:rsidR="00476C56" w:rsidRPr="006D4542">
        <w:rPr>
          <w:lang w:val="en-US"/>
        </w:rPr>
        <w:t>n the last 20 years, the number of adults diagnosed with Diabetes has doubled, challenging our health, families, and economy. DM has grown into an epidemic; unfortunately</w:t>
      </w:r>
      <w:r w:rsidR="00106D22" w:rsidRPr="006D4542">
        <w:rPr>
          <w:lang w:val="en-US"/>
        </w:rPr>
        <w:t>,</w:t>
      </w:r>
      <w:r w:rsidR="00476C56" w:rsidRPr="006D4542">
        <w:rPr>
          <w:lang w:val="en-US"/>
        </w:rPr>
        <w:t xml:space="preserve"> projected to continue worsening. </w:t>
      </w:r>
      <w:r w:rsidR="000E71CB" w:rsidRPr="006D4542">
        <w:rPr>
          <w:lang w:val="en-US"/>
        </w:rPr>
        <w:t>In</w:t>
      </w:r>
      <w:r w:rsidR="004516FC" w:rsidRPr="006D4542">
        <w:rPr>
          <w:lang w:val="en-US"/>
        </w:rPr>
        <w:t xml:space="preserve"> the United States</w:t>
      </w:r>
      <w:r w:rsidR="009E4E03" w:rsidRPr="006D4542">
        <w:rPr>
          <w:lang w:val="en-US"/>
        </w:rPr>
        <w:t xml:space="preserve"> alone</w:t>
      </w:r>
      <w:r w:rsidR="004516FC" w:rsidRPr="006D4542">
        <w:rPr>
          <w:lang w:val="en-US"/>
        </w:rPr>
        <w:t xml:space="preserve">, 32.3 million people already have </w:t>
      </w:r>
      <w:r w:rsidR="00821D9F" w:rsidRPr="006D4542">
        <w:rPr>
          <w:lang w:val="en-US"/>
        </w:rPr>
        <w:t>Diabetes</w:t>
      </w:r>
      <w:r w:rsidR="001E7EED" w:rsidRPr="006D4542">
        <w:rPr>
          <w:lang w:val="en-US"/>
        </w:rPr>
        <w:t>,</w:t>
      </w:r>
      <w:r w:rsidR="00486545" w:rsidRPr="006D4542">
        <w:rPr>
          <w:lang w:val="en-US"/>
        </w:rPr>
        <w:t xml:space="preserve"> and 96 million adults have Prediabetes. </w:t>
      </w:r>
      <w:r w:rsidR="009E4E03" w:rsidRPr="006D4542">
        <w:rPr>
          <w:lang w:val="en-US"/>
        </w:rPr>
        <w:t xml:space="preserve">Of the former, 20% are undiagnosed </w:t>
      </w:r>
      <w:r w:rsidR="00821D9F" w:rsidRPr="006D4542">
        <w:rPr>
          <w:lang w:val="en-US"/>
        </w:rPr>
        <w:t xml:space="preserve">and </w:t>
      </w:r>
      <w:r w:rsidR="009E4E03" w:rsidRPr="006D4542">
        <w:rPr>
          <w:lang w:val="en-US"/>
        </w:rPr>
        <w:t xml:space="preserve">of the latter, </w:t>
      </w:r>
      <w:r w:rsidR="00476C56" w:rsidRPr="006D4542">
        <w:rPr>
          <w:lang w:val="en-US"/>
        </w:rPr>
        <w:t xml:space="preserve">more than </w:t>
      </w:r>
      <w:r w:rsidR="009E4E03" w:rsidRPr="006D4542">
        <w:rPr>
          <w:lang w:val="en-US"/>
        </w:rPr>
        <w:t xml:space="preserve">80% are unaware of their </w:t>
      </w:r>
      <w:r w:rsidR="00821D9F" w:rsidRPr="006D4542">
        <w:rPr>
          <w:lang w:val="en-US"/>
        </w:rPr>
        <w:t xml:space="preserve">heightened risk </w:t>
      </w:r>
      <w:r w:rsidR="001425A0" w:rsidRPr="006D4542">
        <w:rPr>
          <w:lang w:val="en-US"/>
        </w:rPr>
        <w:t>for</w:t>
      </w:r>
      <w:r w:rsidR="00821D9F" w:rsidRPr="006D4542">
        <w:rPr>
          <w:lang w:val="en-US"/>
        </w:rPr>
        <w:t xml:space="preserve"> the condition</w:t>
      </w:r>
      <w:r w:rsidR="009E4E03" w:rsidRPr="006D4542">
        <w:rPr>
          <w:lang w:val="en-US"/>
        </w:rPr>
        <w:t xml:space="preserve">. </w:t>
      </w:r>
      <w:r w:rsidR="00476C56" w:rsidRPr="006D4542">
        <w:rPr>
          <w:lang w:val="en-US"/>
        </w:rPr>
        <w:t>Given</w:t>
      </w:r>
      <w:r w:rsidR="00F85B27" w:rsidRPr="006D4542">
        <w:rPr>
          <w:lang w:val="en-US"/>
        </w:rPr>
        <w:t xml:space="preserve"> all</w:t>
      </w:r>
      <w:r w:rsidR="00476C56" w:rsidRPr="006D4542">
        <w:rPr>
          <w:lang w:val="en-US"/>
        </w:rPr>
        <w:t xml:space="preserve"> this information, o</w:t>
      </w:r>
      <w:r w:rsidR="009E4E03" w:rsidRPr="006D4542">
        <w:rPr>
          <w:lang w:val="en-US"/>
        </w:rPr>
        <w:t xml:space="preserve">ur efforts are </w:t>
      </w:r>
      <w:r w:rsidR="00476C56" w:rsidRPr="006D4542">
        <w:rPr>
          <w:lang w:val="en-US"/>
        </w:rPr>
        <w:t xml:space="preserve">focused on </w:t>
      </w:r>
      <w:r w:rsidR="00FF4503" w:rsidRPr="006D4542">
        <w:rPr>
          <w:lang w:val="en-US"/>
        </w:rPr>
        <w:t xml:space="preserve">using statistical learning models to </w:t>
      </w:r>
      <w:r w:rsidR="00476C56" w:rsidRPr="006D4542">
        <w:rPr>
          <w:lang w:val="en-US"/>
        </w:rPr>
        <w:t>predict Diabetes as early as possible most accurately</w:t>
      </w:r>
      <w:r w:rsidR="00136A3F" w:rsidRPr="006D4542">
        <w:rPr>
          <w:lang w:val="en-US"/>
        </w:rPr>
        <w:t>.</w:t>
      </w:r>
      <w:r w:rsidR="00476C56" w:rsidRPr="006D4542">
        <w:rPr>
          <w:lang w:val="en-US"/>
        </w:rPr>
        <w:t xml:space="preserve"> Afterward, </w:t>
      </w:r>
      <w:r w:rsidR="00EE56ED" w:rsidRPr="006D4542">
        <w:rPr>
          <w:lang w:val="en-US"/>
        </w:rPr>
        <w:t xml:space="preserve">using this same model, </w:t>
      </w:r>
      <w:r w:rsidR="00476C56" w:rsidRPr="006D4542">
        <w:rPr>
          <w:lang w:val="en-US"/>
        </w:rPr>
        <w:t>we gather the most relevant predictors of the disease</w:t>
      </w:r>
      <w:r w:rsidR="00EE56ED" w:rsidRPr="006D4542">
        <w:rPr>
          <w:lang w:val="en-US"/>
        </w:rPr>
        <w:t>,</w:t>
      </w:r>
      <w:r w:rsidR="00476C56" w:rsidRPr="006D4542">
        <w:rPr>
          <w:lang w:val="en-US"/>
        </w:rPr>
        <w:t xml:space="preserve"> so that patients have insight into when it might be critical to see a physician.</w:t>
      </w:r>
    </w:p>
    <w:p w14:paraId="5936AADD" w14:textId="696CFCFF" w:rsidR="0018379C" w:rsidRPr="00E13652" w:rsidRDefault="00F16627" w:rsidP="00E13652">
      <w:pPr>
        <w:spacing w:line="480" w:lineRule="auto"/>
        <w:jc w:val="both"/>
        <w:rPr>
          <w:b/>
          <w:bCs/>
          <w:lang w:val="en-US"/>
        </w:rPr>
      </w:pPr>
      <w:r w:rsidRPr="006D4542">
        <w:rPr>
          <w:b/>
          <w:bCs/>
          <w:u w:val="single"/>
          <w:lang w:val="en-US"/>
        </w:rPr>
        <w:t>Types of Diabetes</w:t>
      </w:r>
      <w:r w:rsidR="008968FA">
        <w:rPr>
          <w:b/>
          <w:bCs/>
          <w:u w:val="single"/>
          <w:lang w:val="en-US"/>
        </w:rPr>
        <w:t xml:space="preserve"> and </w:t>
      </w:r>
      <w:r w:rsidR="002168D4">
        <w:rPr>
          <w:b/>
          <w:bCs/>
          <w:u w:val="single"/>
          <w:lang w:val="en-US"/>
        </w:rPr>
        <w:t>T</w:t>
      </w:r>
      <w:r w:rsidR="008968FA">
        <w:rPr>
          <w:b/>
          <w:bCs/>
          <w:u w:val="single"/>
          <w:lang w:val="en-US"/>
        </w:rPr>
        <w:t>heir Impact on the Body</w:t>
      </w:r>
      <w:r w:rsidR="00E13652">
        <w:rPr>
          <w:b/>
          <w:bCs/>
          <w:lang w:val="en-US"/>
        </w:rPr>
        <w:t xml:space="preserve">: </w:t>
      </w:r>
      <w:r w:rsidR="00476C56" w:rsidRPr="006D4542">
        <w:rPr>
          <w:lang w:val="en-US"/>
        </w:rPr>
        <w:t>There are various ways DM</w:t>
      </w:r>
      <w:r w:rsidR="0018379C" w:rsidRPr="006D4542">
        <w:rPr>
          <w:lang w:val="en-US"/>
        </w:rPr>
        <w:t xml:space="preserve"> can present itself</w:t>
      </w:r>
      <w:r w:rsidR="00476C56" w:rsidRPr="006D4542">
        <w:rPr>
          <w:lang w:val="en-US"/>
        </w:rPr>
        <w:t>;</w:t>
      </w:r>
      <w:r w:rsidR="0018379C" w:rsidRPr="006D4542">
        <w:rPr>
          <w:lang w:val="en-US"/>
        </w:rPr>
        <w:t xml:space="preserve"> Type 1 Diabetes</w:t>
      </w:r>
      <w:r w:rsidR="00794D90" w:rsidRPr="006D4542">
        <w:rPr>
          <w:lang w:val="en-US"/>
        </w:rPr>
        <w:t xml:space="preserve"> Mellitus (T1DM)</w:t>
      </w:r>
      <w:r w:rsidR="0018379C" w:rsidRPr="006D4542">
        <w:rPr>
          <w:lang w:val="en-US"/>
        </w:rPr>
        <w:t>, Type 2 Diabetes</w:t>
      </w:r>
      <w:r w:rsidR="00794D90" w:rsidRPr="006D4542">
        <w:rPr>
          <w:lang w:val="en-US"/>
        </w:rPr>
        <w:t xml:space="preserve"> Mellitus (T2DM)</w:t>
      </w:r>
      <w:r w:rsidR="0018379C" w:rsidRPr="006D4542">
        <w:rPr>
          <w:lang w:val="en-US"/>
        </w:rPr>
        <w:t>, Gestational Diabetes</w:t>
      </w:r>
      <w:r w:rsidR="00A4516A" w:rsidRPr="006D4542">
        <w:rPr>
          <w:lang w:val="en-US"/>
        </w:rPr>
        <w:t>, or Prediabetes</w:t>
      </w:r>
      <w:r w:rsidR="0018379C" w:rsidRPr="006D4542">
        <w:rPr>
          <w:lang w:val="en-US"/>
        </w:rPr>
        <w:t xml:space="preserve">. </w:t>
      </w:r>
      <w:r w:rsidR="001E0675">
        <w:rPr>
          <w:lang w:val="en-US"/>
        </w:rPr>
        <w:t>First</w:t>
      </w:r>
      <w:r w:rsidR="009D2EA6">
        <w:rPr>
          <w:lang w:val="en-US"/>
        </w:rPr>
        <w:t>ly</w:t>
      </w:r>
      <w:r w:rsidR="001E0675">
        <w:rPr>
          <w:lang w:val="en-US"/>
        </w:rPr>
        <w:t xml:space="preserve">, </w:t>
      </w:r>
      <w:r w:rsidR="00794D90" w:rsidRPr="006D4542">
        <w:rPr>
          <w:lang w:val="en-US"/>
        </w:rPr>
        <w:t>T1DM</w:t>
      </w:r>
      <w:r w:rsidR="00821D9F" w:rsidRPr="006D4542">
        <w:rPr>
          <w:lang w:val="en-US"/>
        </w:rPr>
        <w:t xml:space="preserve"> occurs when the body </w:t>
      </w:r>
      <w:r w:rsidR="002539FF" w:rsidRPr="006D4542">
        <w:rPr>
          <w:lang w:val="en-US"/>
        </w:rPr>
        <w:t xml:space="preserve">has an autoimmune reaction that stops it from </w:t>
      </w:r>
      <w:r w:rsidR="002539FF" w:rsidRPr="006D4542">
        <w:rPr>
          <w:lang w:val="en-US"/>
        </w:rPr>
        <w:lastRenderedPageBreak/>
        <w:t>producing insulin, the hormone that regulates blood glucose</w:t>
      </w:r>
      <w:r w:rsidR="00476C56" w:rsidRPr="006D4542">
        <w:rPr>
          <w:lang w:val="en-US"/>
        </w:rPr>
        <w:t>. Hence, e</w:t>
      </w:r>
      <w:r w:rsidR="009A4090" w:rsidRPr="006D4542">
        <w:rPr>
          <w:lang w:val="en-US"/>
        </w:rPr>
        <w:t>xogenous insulin is needed to maintain healthy levels.</w:t>
      </w:r>
      <w:r w:rsidR="001E0675">
        <w:rPr>
          <w:lang w:val="en-US"/>
        </w:rPr>
        <w:t xml:space="preserve"> </w:t>
      </w:r>
      <w:r w:rsidR="002539FF" w:rsidRPr="006D4542">
        <w:rPr>
          <w:lang w:val="en-US"/>
        </w:rPr>
        <w:t>T</w:t>
      </w:r>
      <w:r w:rsidR="00794D90" w:rsidRPr="006D4542">
        <w:rPr>
          <w:lang w:val="en-US"/>
        </w:rPr>
        <w:t xml:space="preserve">2DM </w:t>
      </w:r>
      <w:r w:rsidR="009A4090" w:rsidRPr="006D4542">
        <w:rPr>
          <w:lang w:val="en-US"/>
        </w:rPr>
        <w:t>Diabetes</w:t>
      </w:r>
      <w:r w:rsidR="00794D90" w:rsidRPr="006D4542">
        <w:rPr>
          <w:lang w:val="en-US"/>
        </w:rPr>
        <w:t xml:space="preserve"> </w:t>
      </w:r>
      <w:r w:rsidR="002539FF" w:rsidRPr="006D4542">
        <w:rPr>
          <w:lang w:val="en-US"/>
        </w:rPr>
        <w:t>is characterized by the bodies ill use of</w:t>
      </w:r>
      <w:r w:rsidR="001E71F1">
        <w:rPr>
          <w:lang w:val="en-US"/>
        </w:rPr>
        <w:t xml:space="preserve"> its</w:t>
      </w:r>
      <w:r w:rsidR="002539FF" w:rsidRPr="006D4542">
        <w:rPr>
          <w:lang w:val="en-US"/>
        </w:rPr>
        <w:t xml:space="preserve"> insulin</w:t>
      </w:r>
      <w:r w:rsidR="00A4516A" w:rsidRPr="006D4542">
        <w:rPr>
          <w:lang w:val="en-US"/>
        </w:rPr>
        <w:t>.</w:t>
      </w:r>
      <w:r w:rsidR="00476C56" w:rsidRPr="006D4542">
        <w:rPr>
          <w:lang w:val="en-US"/>
        </w:rPr>
        <w:t xml:space="preserve"> As a result of it developing over many years, it is typically diagnosed in adults. </w:t>
      </w:r>
      <w:r w:rsidR="00794D90" w:rsidRPr="006D4542">
        <w:rPr>
          <w:lang w:val="en-US"/>
        </w:rPr>
        <w:t xml:space="preserve">T2DM </w:t>
      </w:r>
      <w:r w:rsidR="00A4516A" w:rsidRPr="006D4542">
        <w:rPr>
          <w:lang w:val="en-US"/>
        </w:rPr>
        <w:t xml:space="preserve">can largely be prevented or delayed with a healthy lifestyle. </w:t>
      </w:r>
      <w:r w:rsidR="009A4090" w:rsidRPr="006D4542">
        <w:rPr>
          <w:lang w:val="en-US"/>
        </w:rPr>
        <w:t xml:space="preserve">Approximately 90 to 95 percent of people diagnosed have </w:t>
      </w:r>
      <w:r w:rsidR="00794D90" w:rsidRPr="006D4542">
        <w:rPr>
          <w:lang w:val="en-US"/>
        </w:rPr>
        <w:t>T2DM</w:t>
      </w:r>
      <w:r w:rsidR="00476C56" w:rsidRPr="006D4542">
        <w:rPr>
          <w:lang w:val="en-US"/>
        </w:rPr>
        <w:t xml:space="preserve">, and </w:t>
      </w:r>
      <w:r w:rsidR="009A4090" w:rsidRPr="006D4542">
        <w:rPr>
          <w:lang w:val="en-US"/>
        </w:rPr>
        <w:t>5</w:t>
      </w:r>
      <w:r w:rsidR="00A4516A" w:rsidRPr="006D4542">
        <w:rPr>
          <w:lang w:val="en-US"/>
        </w:rPr>
        <w:t xml:space="preserve"> to </w:t>
      </w:r>
      <w:r w:rsidR="009A4090" w:rsidRPr="006D4542">
        <w:rPr>
          <w:lang w:val="en-US"/>
        </w:rPr>
        <w:t xml:space="preserve">10 percent have </w:t>
      </w:r>
      <w:r w:rsidR="00794D90" w:rsidRPr="006D4542">
        <w:rPr>
          <w:lang w:val="en-US"/>
        </w:rPr>
        <w:t xml:space="preserve">T1DM. </w:t>
      </w:r>
      <w:r w:rsidR="00A34F27" w:rsidRPr="006D4542">
        <w:rPr>
          <w:lang w:val="en-US"/>
        </w:rPr>
        <w:t>Prediabetes is a predecessor to T2DM, but equally as serious because it also increases your chances of heart disease and stroke.</w:t>
      </w:r>
      <w:r w:rsidR="00A34F27">
        <w:rPr>
          <w:lang w:val="en-US"/>
        </w:rPr>
        <w:t xml:space="preserve"> Lastly, </w:t>
      </w:r>
      <w:r w:rsidR="00A4516A" w:rsidRPr="006D4542">
        <w:rPr>
          <w:lang w:val="en-US"/>
        </w:rPr>
        <w:t xml:space="preserve">Gestational Diabetes </w:t>
      </w:r>
      <w:r w:rsidR="00794D90" w:rsidRPr="006D4542">
        <w:rPr>
          <w:lang w:val="en-US"/>
        </w:rPr>
        <w:t xml:space="preserve">is a special type </w:t>
      </w:r>
      <w:r w:rsidR="00700656">
        <w:rPr>
          <w:lang w:val="en-US"/>
        </w:rPr>
        <w:t xml:space="preserve">of Diabetes </w:t>
      </w:r>
      <w:r w:rsidR="00794D90" w:rsidRPr="006D4542">
        <w:rPr>
          <w:lang w:val="en-US"/>
        </w:rPr>
        <w:t xml:space="preserve">which </w:t>
      </w:r>
      <w:r w:rsidR="00A4516A" w:rsidRPr="006D4542">
        <w:rPr>
          <w:lang w:val="en-US"/>
        </w:rPr>
        <w:t xml:space="preserve">presents itself </w:t>
      </w:r>
      <w:r w:rsidR="00343D43" w:rsidRPr="006D4542">
        <w:rPr>
          <w:lang w:val="en-US"/>
        </w:rPr>
        <w:t xml:space="preserve">throughout pregnancy where there was </w:t>
      </w:r>
      <w:r w:rsidR="00A4516A" w:rsidRPr="006D4542">
        <w:rPr>
          <w:lang w:val="en-US"/>
        </w:rPr>
        <w:t xml:space="preserve">no previous </w:t>
      </w:r>
      <w:r w:rsidR="00343D43" w:rsidRPr="006D4542">
        <w:rPr>
          <w:lang w:val="en-US"/>
        </w:rPr>
        <w:t xml:space="preserve">case of </w:t>
      </w:r>
      <w:r w:rsidR="00A4516A" w:rsidRPr="006D4542">
        <w:rPr>
          <w:lang w:val="en-US"/>
        </w:rPr>
        <w:t>diabet</w:t>
      </w:r>
      <w:r w:rsidR="00343D43" w:rsidRPr="006D4542">
        <w:rPr>
          <w:lang w:val="en-US"/>
        </w:rPr>
        <w:t xml:space="preserve">es in the mother. </w:t>
      </w:r>
      <w:r w:rsidR="004B76C6" w:rsidRPr="006D4542">
        <w:rPr>
          <w:lang w:val="en-US"/>
        </w:rPr>
        <w:t>It goes awa</w:t>
      </w:r>
      <w:r w:rsidR="0041239E">
        <w:rPr>
          <w:lang w:val="en-US"/>
        </w:rPr>
        <w:t xml:space="preserve">y </w:t>
      </w:r>
      <w:r w:rsidR="004B76C6" w:rsidRPr="006D4542">
        <w:rPr>
          <w:lang w:val="en-US"/>
        </w:rPr>
        <w:t xml:space="preserve">after </w:t>
      </w:r>
      <w:r w:rsidR="00476C56" w:rsidRPr="006D4542">
        <w:rPr>
          <w:lang w:val="en-US"/>
        </w:rPr>
        <w:t>birth yet</w:t>
      </w:r>
      <w:r w:rsidR="004B76C6" w:rsidRPr="006D4542">
        <w:rPr>
          <w:lang w:val="en-US"/>
        </w:rPr>
        <w:t xml:space="preserve"> increases risk of T2DM</w:t>
      </w:r>
      <w:r w:rsidR="0041239E">
        <w:rPr>
          <w:lang w:val="en-US"/>
        </w:rPr>
        <w:t xml:space="preserve"> later</w:t>
      </w:r>
      <w:r w:rsidR="004B76C6" w:rsidRPr="006D4542">
        <w:rPr>
          <w:lang w:val="en-US"/>
        </w:rPr>
        <w:t xml:space="preserve">. It not only increases risk for </w:t>
      </w:r>
      <w:r w:rsidR="0041239E">
        <w:rPr>
          <w:lang w:val="en-US"/>
        </w:rPr>
        <w:t xml:space="preserve">the </w:t>
      </w:r>
      <w:r w:rsidR="004B76C6" w:rsidRPr="006D4542">
        <w:rPr>
          <w:lang w:val="en-US"/>
        </w:rPr>
        <w:t>mother</w:t>
      </w:r>
      <w:r w:rsidR="00641E0D">
        <w:rPr>
          <w:lang w:val="en-US"/>
        </w:rPr>
        <w:t>,</w:t>
      </w:r>
      <w:r w:rsidR="004B76C6" w:rsidRPr="006D4542">
        <w:rPr>
          <w:lang w:val="en-US"/>
        </w:rPr>
        <w:t xml:space="preserve"> but also for the child. The </w:t>
      </w:r>
      <w:r w:rsidR="008C3127">
        <w:rPr>
          <w:lang w:val="en-US"/>
        </w:rPr>
        <w:t xml:space="preserve">child will have </w:t>
      </w:r>
      <w:r w:rsidR="004B76C6" w:rsidRPr="006D4542">
        <w:rPr>
          <w:lang w:val="en-US"/>
        </w:rPr>
        <w:t xml:space="preserve">an increased </w:t>
      </w:r>
      <w:r w:rsidR="00DF6487">
        <w:rPr>
          <w:lang w:val="en-US"/>
        </w:rPr>
        <w:t>risk</w:t>
      </w:r>
      <w:r w:rsidR="004B76C6" w:rsidRPr="006D4542">
        <w:rPr>
          <w:lang w:val="en-US"/>
        </w:rPr>
        <w:t xml:space="preserve"> of childhood obesity </w:t>
      </w:r>
      <w:r w:rsidR="00A34F27" w:rsidRPr="006D4542">
        <w:rPr>
          <w:lang w:val="en-US"/>
        </w:rPr>
        <w:t>and</w:t>
      </w:r>
      <w:r w:rsidR="008C3127">
        <w:rPr>
          <w:lang w:val="en-US"/>
        </w:rPr>
        <w:t xml:space="preserve"> </w:t>
      </w:r>
      <w:r w:rsidR="004B76C6" w:rsidRPr="006D4542">
        <w:rPr>
          <w:lang w:val="en-US"/>
        </w:rPr>
        <w:t>more likely to develop T2DM</w:t>
      </w:r>
      <w:r w:rsidR="00A34F27">
        <w:rPr>
          <w:lang w:val="en-US"/>
        </w:rPr>
        <w:t>.</w:t>
      </w:r>
    </w:p>
    <w:p w14:paraId="68CB6151" w14:textId="3E884FE4" w:rsidR="00336608" w:rsidRPr="006D4542" w:rsidRDefault="00BD0A03" w:rsidP="008B4FD1">
      <w:pPr>
        <w:spacing w:line="480" w:lineRule="auto"/>
        <w:ind w:firstLine="708"/>
        <w:jc w:val="both"/>
        <w:rPr>
          <w:lang w:val="en-US"/>
        </w:rPr>
      </w:pPr>
      <w:r w:rsidRPr="006D4542">
        <w:rPr>
          <w:lang w:val="en-US"/>
        </w:rPr>
        <w:t>As</w:t>
      </w:r>
      <w:r w:rsidR="001425A0" w:rsidRPr="006D4542">
        <w:rPr>
          <w:lang w:val="en-US"/>
        </w:rPr>
        <w:t xml:space="preserve"> of 2022</w:t>
      </w:r>
      <w:r w:rsidR="004B76C6" w:rsidRPr="006D4542">
        <w:rPr>
          <w:lang w:val="en-US"/>
        </w:rPr>
        <w:t>, DM is the 7</w:t>
      </w:r>
      <w:r w:rsidR="004B76C6" w:rsidRPr="006D4542">
        <w:rPr>
          <w:vertAlign w:val="superscript"/>
          <w:lang w:val="en-US"/>
        </w:rPr>
        <w:t>th</w:t>
      </w:r>
      <w:r w:rsidR="004B76C6" w:rsidRPr="006D4542">
        <w:rPr>
          <w:lang w:val="en-US"/>
        </w:rPr>
        <w:t xml:space="preserve"> leading cause of death</w:t>
      </w:r>
      <w:r w:rsidR="000A3AA0" w:rsidRPr="006D4542">
        <w:rPr>
          <w:lang w:val="en-US"/>
        </w:rPr>
        <w:t xml:space="preserve"> in the U.S.</w:t>
      </w:r>
      <w:r w:rsidR="004B76C6" w:rsidRPr="006D4542">
        <w:rPr>
          <w:lang w:val="en-US"/>
        </w:rPr>
        <w:t xml:space="preserve"> and</w:t>
      </w:r>
      <w:r w:rsidR="00476C56" w:rsidRPr="006D4542">
        <w:rPr>
          <w:lang w:val="en-US"/>
        </w:rPr>
        <w:t xml:space="preserve"> </w:t>
      </w:r>
      <w:r w:rsidR="004B76C6" w:rsidRPr="006D4542">
        <w:rPr>
          <w:lang w:val="en-US"/>
        </w:rPr>
        <w:t>pr</w:t>
      </w:r>
      <w:r w:rsidR="000A3AA0" w:rsidRPr="006D4542">
        <w:rPr>
          <w:lang w:val="en-US"/>
        </w:rPr>
        <w:t>edicted</w:t>
      </w:r>
      <w:r w:rsidR="004B76C6" w:rsidRPr="006D4542">
        <w:rPr>
          <w:lang w:val="en-US"/>
        </w:rPr>
        <w:t xml:space="preserve"> to be with</w:t>
      </w:r>
      <w:r w:rsidR="000A3AA0" w:rsidRPr="006D4542">
        <w:rPr>
          <w:lang w:val="en-US"/>
        </w:rPr>
        <w:t>in the top 5 by 2030</w:t>
      </w:r>
      <w:r w:rsidR="004B76C6" w:rsidRPr="006D4542">
        <w:rPr>
          <w:lang w:val="en-US"/>
        </w:rPr>
        <w:t xml:space="preserve"> </w:t>
      </w:r>
      <w:r w:rsidR="000A3AA0" w:rsidRPr="006D4542">
        <w:rPr>
          <w:lang w:val="en-US"/>
        </w:rPr>
        <w:t>for high income countries (</w:t>
      </w:r>
      <w:r w:rsidR="001425A0" w:rsidRPr="006D4542">
        <w:rPr>
          <w:lang w:val="en-US"/>
        </w:rPr>
        <w:t>e.g.,</w:t>
      </w:r>
      <w:r w:rsidR="000A3AA0" w:rsidRPr="006D4542">
        <w:rPr>
          <w:lang w:val="en-US"/>
        </w:rPr>
        <w:t xml:space="preserve"> U.S., China, India). </w:t>
      </w:r>
      <w:r w:rsidR="00476C56" w:rsidRPr="006D4542">
        <w:rPr>
          <w:lang w:val="en-US"/>
        </w:rPr>
        <w:t xml:space="preserve">As a result </w:t>
      </w:r>
      <w:r w:rsidR="00A750CA" w:rsidRPr="006D4542">
        <w:rPr>
          <w:lang w:val="en-US"/>
        </w:rPr>
        <w:t xml:space="preserve">of the extra care needed to treat this disease, the medical cost for individuals diagnosed with Diabetes is twice as high compared to individuals with no diabetes. </w:t>
      </w:r>
      <w:r w:rsidR="000A3AA0" w:rsidRPr="006D4542">
        <w:rPr>
          <w:lang w:val="en-US"/>
        </w:rPr>
        <w:t>Moreover, t</w:t>
      </w:r>
      <w:r w:rsidR="00BD2C82" w:rsidRPr="006D4542">
        <w:rPr>
          <w:lang w:val="en-US"/>
        </w:rPr>
        <w:t>he yearly cost of diabetes on the U.S. economy due to medical expenses and lost work and wages averages $327 billion. Thankfully</w:t>
      </w:r>
      <w:r w:rsidR="00476C56" w:rsidRPr="006D4542">
        <w:rPr>
          <w:lang w:val="en-US"/>
        </w:rPr>
        <w:t xml:space="preserve"> </w:t>
      </w:r>
      <w:r w:rsidR="00BD2C82" w:rsidRPr="006D4542">
        <w:rPr>
          <w:lang w:val="en-US"/>
        </w:rPr>
        <w:t xml:space="preserve">because of </w:t>
      </w:r>
      <w:r w:rsidR="003E588F" w:rsidRPr="006D4542">
        <w:rPr>
          <w:lang w:val="en-US"/>
        </w:rPr>
        <w:t xml:space="preserve">T2DM’s </w:t>
      </w:r>
      <w:r w:rsidR="00BD2C82" w:rsidRPr="006D4542">
        <w:rPr>
          <w:lang w:val="en-US"/>
        </w:rPr>
        <w:t>preventability,</w:t>
      </w:r>
      <w:r w:rsidR="00476C56" w:rsidRPr="006D4542">
        <w:rPr>
          <w:lang w:val="en-US"/>
        </w:rPr>
        <w:t xml:space="preserve"> </w:t>
      </w:r>
      <w:r w:rsidR="00BD2C82" w:rsidRPr="006D4542">
        <w:rPr>
          <w:lang w:val="en-US"/>
        </w:rPr>
        <w:t xml:space="preserve">detection through </w:t>
      </w:r>
      <w:r w:rsidR="00794D90" w:rsidRPr="006D4542">
        <w:rPr>
          <w:lang w:val="en-US"/>
        </w:rPr>
        <w:t xml:space="preserve">analyses of </w:t>
      </w:r>
      <w:r w:rsidR="00BD2C82" w:rsidRPr="006D4542">
        <w:rPr>
          <w:lang w:val="en-US"/>
        </w:rPr>
        <w:t>symptom assessments</w:t>
      </w:r>
      <w:r w:rsidR="00A97BDA">
        <w:rPr>
          <w:lang w:val="en-US"/>
        </w:rPr>
        <w:t xml:space="preserve"> like the one we examine </w:t>
      </w:r>
      <w:r w:rsidR="00B404E6">
        <w:rPr>
          <w:lang w:val="en-US"/>
        </w:rPr>
        <w:t>here,</w:t>
      </w:r>
      <w:r w:rsidR="00BD2C82" w:rsidRPr="006D4542">
        <w:rPr>
          <w:lang w:val="en-US"/>
        </w:rPr>
        <w:t xml:space="preserve"> </w:t>
      </w:r>
      <w:r w:rsidR="004C4BE5">
        <w:rPr>
          <w:lang w:val="en-US"/>
        </w:rPr>
        <w:t>we may</w:t>
      </w:r>
      <w:r w:rsidR="00364CC7" w:rsidRPr="006D4542">
        <w:rPr>
          <w:lang w:val="en-US"/>
        </w:rPr>
        <w:t xml:space="preserve"> </w:t>
      </w:r>
      <w:r w:rsidR="00794D90" w:rsidRPr="006D4542">
        <w:rPr>
          <w:lang w:val="en-US"/>
        </w:rPr>
        <w:t>ease a burden on our health care systems</w:t>
      </w:r>
      <w:r w:rsidR="001701FE" w:rsidRPr="006D4542">
        <w:rPr>
          <w:lang w:val="en-US"/>
        </w:rPr>
        <w:t xml:space="preserve"> and national</w:t>
      </w:r>
      <w:r w:rsidR="000A3AA0" w:rsidRPr="006D4542">
        <w:rPr>
          <w:lang w:val="en-US"/>
        </w:rPr>
        <w:t xml:space="preserve"> </w:t>
      </w:r>
      <w:r w:rsidR="00794D90" w:rsidRPr="006D4542">
        <w:rPr>
          <w:lang w:val="en-US"/>
        </w:rPr>
        <w:t>financial expendi</w:t>
      </w:r>
      <w:r w:rsidR="000A3AA0" w:rsidRPr="006D4542">
        <w:rPr>
          <w:lang w:val="en-US"/>
        </w:rPr>
        <w:t>tures.</w:t>
      </w:r>
      <w:r w:rsidR="001701FE" w:rsidRPr="006D4542">
        <w:rPr>
          <w:lang w:val="en-US"/>
        </w:rPr>
        <w:t xml:space="preserve"> </w:t>
      </w:r>
    </w:p>
    <w:p w14:paraId="688BA605" w14:textId="006BBBA3" w:rsidR="001A25F3" w:rsidRPr="001A25F3" w:rsidRDefault="00476C56" w:rsidP="001A25F3">
      <w:pPr>
        <w:spacing w:line="480" w:lineRule="auto"/>
        <w:ind w:firstLine="708"/>
        <w:jc w:val="both"/>
        <w:rPr>
          <w:color w:val="0000FF"/>
          <w:u w:val="single"/>
          <w:lang w:val="en-US"/>
        </w:rPr>
      </w:pPr>
      <w:r w:rsidRPr="006D4542">
        <w:rPr>
          <w:lang w:val="en-US"/>
        </w:rPr>
        <w:t>Currently, the literature has found accurate ways in which to classify similar datasets</w:t>
      </w:r>
      <w:r w:rsidR="002E333F" w:rsidRPr="006D4542">
        <w:rPr>
          <w:lang w:val="en-US"/>
        </w:rPr>
        <w:t>,</w:t>
      </w:r>
      <w:r w:rsidRPr="006D4542">
        <w:rPr>
          <w:lang w:val="en-US"/>
        </w:rPr>
        <w:t xml:space="preserve"> but we have found no records which outline the symptoms that cause the most cause for concern and how the</w:t>
      </w:r>
      <w:r w:rsidR="00F06581" w:rsidRPr="006D4542">
        <w:rPr>
          <w:lang w:val="en-US"/>
        </w:rPr>
        <w:t>y</w:t>
      </w:r>
      <w:r w:rsidRPr="006D4542">
        <w:rPr>
          <w:lang w:val="en-US"/>
        </w:rPr>
        <w:t xml:space="preserve"> factor into model classifications.</w:t>
      </w:r>
      <w:r w:rsidR="00F06581" w:rsidRPr="006D4542">
        <w:rPr>
          <w:lang w:val="en-US"/>
        </w:rPr>
        <w:t xml:space="preserve"> </w:t>
      </w:r>
      <w:r w:rsidR="004A6CBC" w:rsidRPr="006D4542">
        <w:rPr>
          <w:lang w:val="en-US"/>
        </w:rPr>
        <w:t xml:space="preserve">The dataset we’ve used is an </w:t>
      </w:r>
      <w:r w:rsidR="008A7330" w:rsidRPr="006D4542">
        <w:rPr>
          <w:lang w:val="en-US"/>
        </w:rPr>
        <w:t>early-stage</w:t>
      </w:r>
      <w:r w:rsidR="00F06581" w:rsidRPr="006D4542">
        <w:rPr>
          <w:lang w:val="en-US"/>
        </w:rPr>
        <w:t xml:space="preserve"> diabetes risk prediction dataset</w:t>
      </w:r>
      <w:r w:rsidR="00143444" w:rsidRPr="006D4542">
        <w:rPr>
          <w:lang w:val="en-US"/>
        </w:rPr>
        <w:t xml:space="preserve"> that has been collected using direct questionnaires from the patients of Sylhet Diabetes Hospital in Sylhet, Bangladesh and have been approved by a doctor.</w:t>
      </w:r>
      <w:r w:rsidR="00A72A57">
        <w:rPr>
          <w:lang w:val="en-US"/>
        </w:rPr>
        <w:t xml:space="preserve"> </w:t>
      </w:r>
      <w:r w:rsidR="00415533">
        <w:rPr>
          <w:lang w:val="en-US"/>
        </w:rPr>
        <w:t xml:space="preserve">It has </w:t>
      </w:r>
      <w:r w:rsidR="006F2F9D">
        <w:rPr>
          <w:lang w:val="en-US"/>
        </w:rPr>
        <w:t xml:space="preserve">16 features </w:t>
      </w:r>
      <w:r w:rsidR="006F2F9D">
        <w:rPr>
          <w:lang w:val="en-US"/>
        </w:rPr>
        <w:lastRenderedPageBreak/>
        <w:t>and 520 instances that suffice in creating these predictions.</w:t>
      </w:r>
      <w:r w:rsidR="00A72A57">
        <w:rPr>
          <w:lang w:val="en-US"/>
        </w:rPr>
        <w:t xml:space="preserve"> It can be found at</w:t>
      </w:r>
      <w:r w:rsidR="001A25F3" w:rsidRPr="001A25F3">
        <w:t xml:space="preserve"> </w:t>
      </w:r>
      <w:hyperlink r:id="rId8" w:history="1">
        <w:r w:rsidR="001A25F3" w:rsidRPr="005119B2">
          <w:rPr>
            <w:rStyle w:val="Hyperlink"/>
            <w:lang w:val="en-US"/>
          </w:rPr>
          <w:t>https://archive.ics.uci.edu/ml/datasets/Early+sta</w:t>
        </w:r>
        <w:r w:rsidR="001A25F3" w:rsidRPr="005119B2">
          <w:rPr>
            <w:rStyle w:val="Hyperlink"/>
            <w:lang w:val="en-US"/>
          </w:rPr>
          <w:t>g</w:t>
        </w:r>
        <w:r w:rsidR="001A25F3" w:rsidRPr="005119B2">
          <w:rPr>
            <w:rStyle w:val="Hyperlink"/>
            <w:lang w:val="en-US"/>
          </w:rPr>
          <w:t>e+diabetes+risk+prediction+dataset</w:t>
        </w:r>
      </w:hyperlink>
      <w:r w:rsidR="001A25F3" w:rsidRPr="001A25F3">
        <w:rPr>
          <w:lang w:val="en-US"/>
        </w:rPr>
        <w:t>.</w:t>
      </w:r>
    </w:p>
    <w:p w14:paraId="165AC02B" w14:textId="115383FB" w:rsidR="00476C56" w:rsidRDefault="00476C56" w:rsidP="008B4FD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4542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Methods</w:t>
      </w:r>
    </w:p>
    <w:p w14:paraId="71F3DFFD" w14:textId="07F8E5BF" w:rsidR="00784D2C" w:rsidRPr="007D23E7" w:rsidRDefault="00EA0FEB" w:rsidP="02FE3AB7">
      <w:pPr>
        <w:spacing w:line="480" w:lineRule="auto"/>
        <w:jc w:val="both"/>
        <w:rPr>
          <w:b/>
          <w:bCs/>
          <w:lang w:val="en-US"/>
        </w:rPr>
      </w:pPr>
      <w:r w:rsidRPr="08DAD789">
        <w:rPr>
          <w:b/>
          <w:sz w:val="28"/>
          <w:szCs w:val="28"/>
          <w:lang w:val="en-US"/>
        </w:rPr>
        <w:t>Data</w:t>
      </w:r>
    </w:p>
    <w:p w14:paraId="7D52BC71" w14:textId="128FF300" w:rsidR="00784D2C" w:rsidRPr="007D23E7" w:rsidRDefault="00431C71" w:rsidP="008B4FD1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Included </w:t>
      </w:r>
      <w:r w:rsidR="00826271">
        <w:rPr>
          <w:lang w:val="en-US"/>
        </w:rPr>
        <w:t xml:space="preserve">as part of </w:t>
      </w:r>
      <w:r w:rsidR="00B52EF4">
        <w:rPr>
          <w:lang w:val="en-US"/>
        </w:rPr>
        <w:t xml:space="preserve">our </w:t>
      </w:r>
      <w:r w:rsidR="00F165A8">
        <w:rPr>
          <w:lang w:val="en-US"/>
        </w:rPr>
        <w:t>response</w:t>
      </w:r>
      <w:r w:rsidR="009F3B1C">
        <w:rPr>
          <w:lang w:val="en-US"/>
        </w:rPr>
        <w:t xml:space="preserve"> </w:t>
      </w:r>
      <w:r w:rsidR="00965329">
        <w:rPr>
          <w:lang w:val="en-US"/>
        </w:rPr>
        <w:t>variables</w:t>
      </w:r>
      <w:r w:rsidR="00826271">
        <w:rPr>
          <w:lang w:val="en-US"/>
        </w:rPr>
        <w:t xml:space="preserve"> are</w:t>
      </w:r>
      <w:r w:rsidR="00D33F43">
        <w:rPr>
          <w:lang w:val="en-US"/>
        </w:rPr>
        <w:t xml:space="preserve"> </w:t>
      </w:r>
      <w:r w:rsidR="00826271">
        <w:rPr>
          <w:lang w:val="en-US"/>
        </w:rPr>
        <w:t>a</w:t>
      </w:r>
      <w:r w:rsidR="4232BFA1" w:rsidRPr="004F1D55">
        <w:rPr>
          <w:lang w:val="en-US"/>
        </w:rPr>
        <w:t>ge</w:t>
      </w:r>
      <w:r w:rsidR="00D33F43">
        <w:rPr>
          <w:lang w:val="en-US"/>
        </w:rPr>
        <w:t xml:space="preserve"> and</w:t>
      </w:r>
      <w:r w:rsidR="4232BFA1" w:rsidRPr="004F1D55">
        <w:rPr>
          <w:lang w:val="en-US"/>
        </w:rPr>
        <w:t xml:space="preserve"> </w:t>
      </w:r>
      <w:r w:rsidR="00826271">
        <w:rPr>
          <w:lang w:val="en-US"/>
        </w:rPr>
        <w:t>g</w:t>
      </w:r>
      <w:r w:rsidR="4232BFA1" w:rsidRPr="004F1D55">
        <w:rPr>
          <w:lang w:val="en-US"/>
        </w:rPr>
        <w:t>ender</w:t>
      </w:r>
      <w:r w:rsidR="00C93BF9">
        <w:rPr>
          <w:lang w:val="en-US"/>
        </w:rPr>
        <w:t>. Response</w:t>
      </w:r>
      <w:r w:rsidR="00BE0D9C">
        <w:rPr>
          <w:lang w:val="en-US"/>
        </w:rPr>
        <w:t xml:space="preserve"> variables that were</w:t>
      </w:r>
      <w:r w:rsidR="00C93BF9">
        <w:rPr>
          <w:lang w:val="en-US"/>
        </w:rPr>
        <w:t xml:space="preserve"> s</w:t>
      </w:r>
      <w:r w:rsidR="00D33F43">
        <w:rPr>
          <w:lang w:val="en-US"/>
        </w:rPr>
        <w:t>ymptoms include</w:t>
      </w:r>
      <w:r w:rsidR="4232BFA1" w:rsidRPr="004F1D55">
        <w:rPr>
          <w:lang w:val="en-US"/>
        </w:rPr>
        <w:t xml:space="preserve"> </w:t>
      </w:r>
      <w:r w:rsidR="00826271">
        <w:rPr>
          <w:lang w:val="en-US"/>
        </w:rPr>
        <w:t>presence of</w:t>
      </w:r>
      <w:r w:rsidR="00D33F43">
        <w:rPr>
          <w:lang w:val="en-US"/>
        </w:rPr>
        <w:t>,</w:t>
      </w:r>
      <w:r w:rsidR="00826271">
        <w:rPr>
          <w:lang w:val="en-US"/>
        </w:rPr>
        <w:t xml:space="preserve"> P</w:t>
      </w:r>
      <w:r w:rsidR="4232BFA1" w:rsidRPr="004F1D55">
        <w:rPr>
          <w:lang w:val="en-US"/>
        </w:rPr>
        <w:t xml:space="preserve">olyuria, Polydipsia, sudden </w:t>
      </w:r>
      <w:r w:rsidR="3002495E" w:rsidRPr="004F1D55">
        <w:rPr>
          <w:lang w:val="en-US"/>
        </w:rPr>
        <w:t>weight loss</w:t>
      </w:r>
      <w:r w:rsidR="4232BFA1" w:rsidRPr="004F1D55">
        <w:rPr>
          <w:lang w:val="en-US"/>
        </w:rPr>
        <w:t xml:space="preserve">, </w:t>
      </w:r>
      <w:r w:rsidR="00FA30FF">
        <w:rPr>
          <w:lang w:val="en-US"/>
        </w:rPr>
        <w:t>w</w:t>
      </w:r>
      <w:r w:rsidR="4232BFA1" w:rsidRPr="004F1D55">
        <w:rPr>
          <w:lang w:val="en-US"/>
        </w:rPr>
        <w:t xml:space="preserve">eakess, Polyphagia, </w:t>
      </w:r>
      <w:r w:rsidR="00965329">
        <w:rPr>
          <w:lang w:val="en-US"/>
        </w:rPr>
        <w:t>ge</w:t>
      </w:r>
      <w:r w:rsidR="4232BFA1" w:rsidRPr="004F1D55">
        <w:rPr>
          <w:lang w:val="en-US"/>
        </w:rPr>
        <w:t xml:space="preserve">nital thrush, </w:t>
      </w:r>
      <w:r w:rsidR="00965329">
        <w:rPr>
          <w:lang w:val="en-US"/>
        </w:rPr>
        <w:t>v</w:t>
      </w:r>
      <w:r w:rsidR="4232BFA1" w:rsidRPr="004F1D55">
        <w:rPr>
          <w:lang w:val="en-US"/>
        </w:rPr>
        <w:t>isual blurring</w:t>
      </w:r>
      <w:r w:rsidR="00965329">
        <w:rPr>
          <w:lang w:val="en-US"/>
        </w:rPr>
        <w:t>, i</w:t>
      </w:r>
      <w:r w:rsidR="4232BFA1" w:rsidRPr="004F1D55">
        <w:rPr>
          <w:lang w:val="en-US"/>
        </w:rPr>
        <w:t xml:space="preserve">tching, </w:t>
      </w:r>
      <w:r w:rsidR="00965329">
        <w:rPr>
          <w:lang w:val="en-US"/>
        </w:rPr>
        <w:t>i</w:t>
      </w:r>
      <w:r w:rsidR="4232BFA1" w:rsidRPr="004F1D55">
        <w:rPr>
          <w:lang w:val="en-US"/>
        </w:rPr>
        <w:t xml:space="preserve">rritability, </w:t>
      </w:r>
      <w:r w:rsidR="00965329">
        <w:rPr>
          <w:lang w:val="en-US"/>
        </w:rPr>
        <w:t>d</w:t>
      </w:r>
      <w:r w:rsidR="4232BFA1" w:rsidRPr="004F1D55">
        <w:rPr>
          <w:lang w:val="en-US"/>
        </w:rPr>
        <w:t xml:space="preserve">elayed healing, </w:t>
      </w:r>
      <w:r w:rsidR="005C3EB6">
        <w:rPr>
          <w:lang w:val="en-US"/>
        </w:rPr>
        <w:t>p</w:t>
      </w:r>
      <w:r w:rsidR="4232BFA1" w:rsidRPr="004F1D55">
        <w:rPr>
          <w:lang w:val="en-US"/>
        </w:rPr>
        <w:t xml:space="preserve">artial </w:t>
      </w:r>
      <w:r w:rsidR="00965329">
        <w:rPr>
          <w:lang w:val="en-US"/>
        </w:rPr>
        <w:t>P</w:t>
      </w:r>
      <w:r w:rsidR="4232BFA1" w:rsidRPr="004F1D55">
        <w:rPr>
          <w:lang w:val="en-US"/>
        </w:rPr>
        <w:t xml:space="preserve">aresis, </w:t>
      </w:r>
      <w:r w:rsidR="00965329">
        <w:rPr>
          <w:lang w:val="en-US"/>
        </w:rPr>
        <w:t>m</w:t>
      </w:r>
      <w:r w:rsidR="4232BFA1" w:rsidRPr="004F1D55">
        <w:rPr>
          <w:lang w:val="en-US"/>
        </w:rPr>
        <w:t xml:space="preserve">uscle stiffness, Alopecia, </w:t>
      </w:r>
      <w:r w:rsidR="00B3402E">
        <w:rPr>
          <w:lang w:val="en-US"/>
        </w:rPr>
        <w:t xml:space="preserve">and </w:t>
      </w:r>
      <w:r w:rsidR="4232BFA1" w:rsidRPr="004F1D55">
        <w:rPr>
          <w:lang w:val="en-US"/>
        </w:rPr>
        <w:t>Obesity</w:t>
      </w:r>
      <w:r w:rsidR="00B62291">
        <w:rPr>
          <w:lang w:val="en-US"/>
        </w:rPr>
        <w:t>. Finally</w:t>
      </w:r>
      <w:r w:rsidR="4232BFA1" w:rsidRPr="004F1D55">
        <w:rPr>
          <w:lang w:val="en-US"/>
        </w:rPr>
        <w:t xml:space="preserve">, our predictor value </w:t>
      </w:r>
      <w:r w:rsidR="00B62291">
        <w:rPr>
          <w:lang w:val="en-US"/>
        </w:rPr>
        <w:t xml:space="preserve">is </w:t>
      </w:r>
      <w:r w:rsidR="00EA0FEB">
        <w:rPr>
          <w:lang w:val="en-US"/>
        </w:rPr>
        <w:t>a positive</w:t>
      </w:r>
      <w:r w:rsidR="4232BFA1" w:rsidRPr="004F1D55">
        <w:rPr>
          <w:lang w:val="en-US"/>
        </w:rPr>
        <w:t xml:space="preserve"> or negative diabetes diagnosis.</w:t>
      </w:r>
      <w:r w:rsidR="00EA0FEB">
        <w:rPr>
          <w:lang w:val="en-US"/>
        </w:rPr>
        <w:t xml:space="preserve"> </w:t>
      </w:r>
      <w:r w:rsidR="00BE33BC">
        <w:rPr>
          <w:lang w:val="en-US"/>
        </w:rPr>
        <w:t xml:space="preserve">Of the </w:t>
      </w:r>
      <w:r w:rsidR="00E23931">
        <w:rPr>
          <w:lang w:val="en-US"/>
        </w:rPr>
        <w:t>predictor’s</w:t>
      </w:r>
      <w:r w:rsidR="00BE33BC">
        <w:rPr>
          <w:lang w:val="en-US"/>
        </w:rPr>
        <w:t xml:space="preserve"> </w:t>
      </w:r>
      <w:r w:rsidR="005A4F3D">
        <w:rPr>
          <w:lang w:val="en-US"/>
        </w:rPr>
        <w:t xml:space="preserve">values, </w:t>
      </w:r>
      <w:r w:rsidR="00BE33BC">
        <w:rPr>
          <w:lang w:val="en-US"/>
        </w:rPr>
        <w:t>there are 320 positive and 200 negative diabetes diagnosis.</w:t>
      </w:r>
      <w:r w:rsidR="00060C8C">
        <w:rPr>
          <w:lang w:val="en-US"/>
        </w:rPr>
        <w:t xml:space="preserve"> </w:t>
      </w:r>
      <w:r w:rsidR="00662892">
        <w:rPr>
          <w:lang w:val="en-US"/>
        </w:rPr>
        <w:t xml:space="preserve">Before beginning </w:t>
      </w:r>
      <w:r w:rsidR="008B4FD1">
        <w:rPr>
          <w:lang w:val="en-US"/>
        </w:rPr>
        <w:t xml:space="preserve">to utilize </w:t>
      </w:r>
      <w:r w:rsidR="00D57A06">
        <w:rPr>
          <w:lang w:val="en-US"/>
        </w:rPr>
        <w:t xml:space="preserve">the data </w:t>
      </w:r>
      <w:r w:rsidR="002A1C9C">
        <w:rPr>
          <w:lang w:val="en-US"/>
        </w:rPr>
        <w:t xml:space="preserve">we ensured that there were no missing or </w:t>
      </w:r>
      <w:r w:rsidR="00990899">
        <w:rPr>
          <w:lang w:val="en-US"/>
        </w:rPr>
        <w:t>incompatible values in the tuples of our dataset</w:t>
      </w:r>
      <w:r w:rsidR="001A0EB7">
        <w:rPr>
          <w:lang w:val="en-US"/>
        </w:rPr>
        <w:t xml:space="preserve"> by manually parsing through our Comma Separated Value (CSV) file and </w:t>
      </w:r>
      <w:r w:rsidR="007825E6">
        <w:rPr>
          <w:lang w:val="en-US"/>
        </w:rPr>
        <w:t xml:space="preserve">using the </w:t>
      </w:r>
      <w:r w:rsidR="007D23E7">
        <w:rPr>
          <w:lang w:val="en-US"/>
        </w:rPr>
        <w:t>built-in</w:t>
      </w:r>
      <w:r w:rsidR="007825E6">
        <w:rPr>
          <w:lang w:val="en-US"/>
        </w:rPr>
        <w:t xml:space="preserve"> functions included in </w:t>
      </w:r>
      <w:r w:rsidR="00F77536">
        <w:rPr>
          <w:lang w:val="en-US"/>
        </w:rPr>
        <w:t xml:space="preserve">the </w:t>
      </w:r>
      <w:r w:rsidR="007825E6">
        <w:rPr>
          <w:lang w:val="en-US"/>
        </w:rPr>
        <w:t>R</w:t>
      </w:r>
      <w:r w:rsidR="00F77536">
        <w:rPr>
          <w:lang w:val="en-US"/>
        </w:rPr>
        <w:t xml:space="preserve"> programming language</w:t>
      </w:r>
      <w:r w:rsidR="00990899">
        <w:rPr>
          <w:lang w:val="en-US"/>
        </w:rPr>
        <w:t>.</w:t>
      </w:r>
      <w:r w:rsidR="00DB01C8">
        <w:rPr>
          <w:lang w:val="en-US"/>
        </w:rPr>
        <w:t xml:space="preserve"> Furthermore</w:t>
      </w:r>
      <w:r w:rsidR="00041B26">
        <w:rPr>
          <w:lang w:val="en-US"/>
        </w:rPr>
        <w:t xml:space="preserve">, we set a random seed generator to be able to reproduce our models. </w:t>
      </w:r>
    </w:p>
    <w:p w14:paraId="5CC14486" w14:textId="70101055" w:rsidR="3002495E" w:rsidRDefault="08DAD789" w:rsidP="08DAD789">
      <w:pPr>
        <w:spacing w:line="480" w:lineRule="auto"/>
        <w:jc w:val="both"/>
        <w:rPr>
          <w:b/>
          <w:bCs/>
          <w:sz w:val="28"/>
          <w:szCs w:val="28"/>
          <w:lang w:val="en-US"/>
        </w:rPr>
      </w:pPr>
      <w:r w:rsidRPr="08DAD789">
        <w:rPr>
          <w:b/>
          <w:bCs/>
          <w:sz w:val="28"/>
          <w:szCs w:val="28"/>
          <w:lang w:val="en-US"/>
        </w:rPr>
        <w:t>Techniques</w:t>
      </w:r>
    </w:p>
    <w:p w14:paraId="2F13A8EB" w14:textId="56036BD4" w:rsidR="0077713A" w:rsidRPr="0046689B" w:rsidRDefault="002712EC" w:rsidP="08DAD789">
      <w:pPr>
        <w:spacing w:line="480" w:lineRule="auto"/>
        <w:jc w:val="both"/>
        <w:rPr>
          <w:sz w:val="22"/>
          <w:szCs w:val="22"/>
          <w:lang w:val="en-US"/>
        </w:rPr>
      </w:pPr>
      <w:r w:rsidRPr="002712EC">
        <w:rPr>
          <w:lang w:val="en-US"/>
        </w:rPr>
        <w:t>W</w:t>
      </w:r>
      <w:r>
        <w:rPr>
          <w:lang w:val="en-US"/>
        </w:rPr>
        <w:t xml:space="preserve">e used the following </w:t>
      </w:r>
      <w:r w:rsidR="00543E39">
        <w:rPr>
          <w:lang w:val="en-US"/>
        </w:rPr>
        <w:t xml:space="preserve">learning methods to build </w:t>
      </w:r>
      <w:r w:rsidR="00E86569">
        <w:rPr>
          <w:lang w:val="en-US"/>
        </w:rPr>
        <w:t>our classifiers:</w:t>
      </w:r>
    </w:p>
    <w:p w14:paraId="5D68BC7B" w14:textId="5E449DE6" w:rsidR="3002495E" w:rsidRPr="00432F3E" w:rsidRDefault="08DAD789" w:rsidP="00432F3E">
      <w:pPr>
        <w:pStyle w:val="ListParagraph"/>
        <w:numPr>
          <w:ilvl w:val="0"/>
          <w:numId w:val="9"/>
        </w:numPr>
        <w:rPr>
          <w:rFonts w:eastAsiaTheme="minorEastAsia"/>
          <w:i/>
          <w:lang w:val="en-US"/>
        </w:rPr>
      </w:pPr>
      <w:r w:rsidRPr="00432F3E">
        <w:rPr>
          <w:b/>
          <w:bCs/>
          <w:lang w:val="en-US"/>
        </w:rPr>
        <w:t>Logistic Regression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+ε</m:t>
        </m:r>
      </m:oMath>
    </w:p>
    <w:p w14:paraId="1FE4CA99" w14:textId="77777777" w:rsidR="00AB14F4" w:rsidRPr="00AB14F4" w:rsidRDefault="00AB14F4" w:rsidP="00AB14F4">
      <w:pPr>
        <w:rPr>
          <w:rFonts w:eastAsiaTheme="minorEastAsia"/>
          <w:b/>
          <w:bCs/>
          <w:lang w:val="en-US"/>
        </w:rPr>
      </w:pPr>
    </w:p>
    <w:p w14:paraId="53DB3018" w14:textId="6853A955" w:rsidR="3002495E" w:rsidRPr="00432F3E" w:rsidRDefault="08DAD789" w:rsidP="00432F3E">
      <w:pPr>
        <w:pStyle w:val="ListParagraph"/>
        <w:numPr>
          <w:ilvl w:val="0"/>
          <w:numId w:val="9"/>
        </w:numPr>
        <w:spacing w:line="480" w:lineRule="auto"/>
        <w:jc w:val="both"/>
        <w:rPr>
          <w:b/>
          <w:bCs/>
          <w:lang w:val="en-US"/>
        </w:rPr>
      </w:pPr>
      <w:r w:rsidRPr="00432F3E">
        <w:rPr>
          <w:b/>
          <w:bCs/>
          <w:lang w:val="en-US"/>
        </w:rPr>
        <w:t>Decision Tree</w:t>
      </w:r>
    </w:p>
    <w:p w14:paraId="69B13C15" w14:textId="47CADDCF" w:rsidR="3002495E" w:rsidRPr="00432F3E" w:rsidRDefault="08DAD789" w:rsidP="00432F3E">
      <w:pPr>
        <w:pStyle w:val="ListParagraph"/>
        <w:numPr>
          <w:ilvl w:val="0"/>
          <w:numId w:val="9"/>
        </w:numPr>
        <w:spacing w:line="480" w:lineRule="auto"/>
        <w:jc w:val="both"/>
        <w:rPr>
          <w:b/>
          <w:bCs/>
          <w:lang w:val="en-US"/>
        </w:rPr>
      </w:pPr>
      <w:r w:rsidRPr="00432F3E">
        <w:rPr>
          <w:b/>
          <w:bCs/>
          <w:lang w:val="en-US"/>
        </w:rPr>
        <w:t>Random Forest</w:t>
      </w:r>
    </w:p>
    <w:p w14:paraId="15C1589F" w14:textId="35490350" w:rsidR="08DAD789" w:rsidRPr="00432F3E" w:rsidRDefault="08DAD789" w:rsidP="00432F3E">
      <w:pPr>
        <w:pStyle w:val="ListParagraph"/>
        <w:numPr>
          <w:ilvl w:val="0"/>
          <w:numId w:val="9"/>
        </w:numPr>
        <w:spacing w:line="480" w:lineRule="auto"/>
        <w:jc w:val="both"/>
        <w:rPr>
          <w:b/>
          <w:bCs/>
          <w:lang w:val="en-US"/>
        </w:rPr>
      </w:pPr>
      <w:r w:rsidRPr="00432F3E">
        <w:rPr>
          <w:b/>
          <w:bCs/>
          <w:lang w:val="en-US"/>
        </w:rPr>
        <w:t xml:space="preserve">Naïve Bayes Classifier </w:t>
      </w:r>
    </w:p>
    <w:p w14:paraId="037070A1" w14:textId="27BFC943" w:rsidR="00F06894" w:rsidRDefault="08DAD789" w:rsidP="08DAD789">
      <w:pPr>
        <w:spacing w:line="480" w:lineRule="auto"/>
        <w:jc w:val="both"/>
        <w:rPr>
          <w:lang w:val="en-US"/>
        </w:rPr>
      </w:pPr>
      <w:r w:rsidRPr="08DAD789">
        <w:rPr>
          <w:b/>
          <w:bCs/>
          <w:sz w:val="28"/>
          <w:szCs w:val="28"/>
          <w:lang w:val="en-US"/>
        </w:rPr>
        <w:t xml:space="preserve">Evaluation </w:t>
      </w:r>
    </w:p>
    <w:p w14:paraId="64765C5A" w14:textId="5B8FE76A" w:rsidR="08DAD789" w:rsidRDefault="002C43E4" w:rsidP="08DAD789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For evaluating the performance of </w:t>
      </w:r>
      <w:r w:rsidR="00A60BD7">
        <w:rPr>
          <w:lang w:val="en-US"/>
        </w:rPr>
        <w:t>classifiers we’re using K-fold Cross Validation</w:t>
      </w:r>
      <w:r w:rsidR="00046F7F">
        <w:rPr>
          <w:lang w:val="en-US"/>
        </w:rPr>
        <w:t>, where we divide</w:t>
      </w:r>
      <w:r w:rsidR="00BD54D0" w:rsidRPr="00BD54D0">
        <w:rPr>
          <w:lang w:val="en-US"/>
        </w:rPr>
        <w:t xml:space="preserve"> </w:t>
      </w:r>
      <w:r w:rsidR="00046F7F">
        <w:rPr>
          <w:lang w:val="en-US"/>
        </w:rPr>
        <w:t xml:space="preserve">our </w:t>
      </w:r>
      <w:r w:rsidR="00BD54D0" w:rsidRPr="00BD54D0">
        <w:rPr>
          <w:lang w:val="en-US"/>
        </w:rPr>
        <w:t xml:space="preserve">dataset into </w:t>
      </w:r>
      <w:r w:rsidR="001D38EF">
        <w:rPr>
          <w:lang w:val="en-US"/>
        </w:rPr>
        <w:t>20</w:t>
      </w:r>
      <w:r w:rsidR="00BD54D0" w:rsidRPr="00BD54D0">
        <w:rPr>
          <w:lang w:val="en-US"/>
        </w:rPr>
        <w:t xml:space="preserve"> different parts</w:t>
      </w:r>
      <w:r w:rsidR="00046F7F">
        <w:rPr>
          <w:lang w:val="en-US"/>
        </w:rPr>
        <w:t>.</w:t>
      </w:r>
      <w:r w:rsidR="00BD54D0" w:rsidRPr="00BD54D0">
        <w:rPr>
          <w:lang w:val="en-US"/>
        </w:rPr>
        <w:t xml:space="preserve"> </w:t>
      </w:r>
      <w:r w:rsidR="00A937D0">
        <w:rPr>
          <w:lang w:val="en-US"/>
        </w:rPr>
        <w:t>First</w:t>
      </w:r>
      <w:r w:rsidR="00F360E0">
        <w:rPr>
          <w:lang w:val="en-US"/>
        </w:rPr>
        <w:t>,</w:t>
      </w:r>
      <w:r w:rsidR="003E2C9D">
        <w:rPr>
          <w:lang w:val="en-US"/>
        </w:rPr>
        <w:t xml:space="preserve"> we</w:t>
      </w:r>
      <w:r w:rsidR="00BD54D0" w:rsidRPr="00BD54D0">
        <w:rPr>
          <w:lang w:val="en-US"/>
        </w:rPr>
        <w:t xml:space="preserve"> remove the </w:t>
      </w:r>
      <w:r w:rsidR="00583533">
        <w:rPr>
          <w:lang w:val="en-US"/>
        </w:rPr>
        <w:t>initial</w:t>
      </w:r>
      <w:r w:rsidR="00BD54D0" w:rsidRPr="00BD54D0">
        <w:rPr>
          <w:lang w:val="en-US"/>
        </w:rPr>
        <w:t xml:space="preserve"> part</w:t>
      </w:r>
      <w:r w:rsidR="00583533">
        <w:rPr>
          <w:lang w:val="en-US"/>
        </w:rPr>
        <w:t xml:space="preserve"> and</w:t>
      </w:r>
      <w:r w:rsidR="00BD54D0" w:rsidRPr="00BD54D0">
        <w:rPr>
          <w:lang w:val="en-US"/>
        </w:rPr>
        <w:t xml:space="preserve"> fit the model on the </w:t>
      </w:r>
      <w:r w:rsidR="00FD5ABB">
        <w:rPr>
          <w:lang w:val="en-US"/>
        </w:rPr>
        <w:lastRenderedPageBreak/>
        <w:t>19 other</w:t>
      </w:r>
      <w:r w:rsidR="00BD54D0" w:rsidRPr="00BD54D0">
        <w:rPr>
          <w:lang w:val="en-US"/>
        </w:rPr>
        <w:t xml:space="preserve"> parts</w:t>
      </w:r>
      <w:r w:rsidR="00023939">
        <w:rPr>
          <w:lang w:val="en-US"/>
        </w:rPr>
        <w:t xml:space="preserve"> to</w:t>
      </w:r>
      <w:r w:rsidR="00BD54D0" w:rsidRPr="00BD54D0">
        <w:rPr>
          <w:lang w:val="en-US"/>
        </w:rPr>
        <w:t xml:space="preserve"> see how good the </w:t>
      </w:r>
      <w:r w:rsidR="00583533">
        <w:rPr>
          <w:lang w:val="en-US"/>
        </w:rPr>
        <w:t xml:space="preserve">predictions are by </w:t>
      </w:r>
      <w:r w:rsidR="00BD54D0" w:rsidRPr="00BD54D0">
        <w:rPr>
          <w:lang w:val="en-US"/>
        </w:rPr>
        <w:t>comput</w:t>
      </w:r>
      <w:r w:rsidR="00D6128A">
        <w:rPr>
          <w:lang w:val="en-US"/>
        </w:rPr>
        <w:t>ing</w:t>
      </w:r>
      <w:r w:rsidR="00BD54D0" w:rsidRPr="00BD54D0">
        <w:rPr>
          <w:lang w:val="en-US"/>
        </w:rPr>
        <w:t xml:space="preserve"> the MSE on the first part</w:t>
      </w:r>
      <w:r w:rsidR="0085418D">
        <w:rPr>
          <w:lang w:val="en-US"/>
        </w:rPr>
        <w:t>.</w:t>
      </w:r>
      <w:r w:rsidR="00D6128A">
        <w:rPr>
          <w:lang w:val="en-US"/>
        </w:rPr>
        <w:t xml:space="preserve"> </w:t>
      </w:r>
      <w:r w:rsidR="0085418D">
        <w:rPr>
          <w:lang w:val="en-US"/>
        </w:rPr>
        <w:t xml:space="preserve">We </w:t>
      </w:r>
      <w:r w:rsidR="00BD54D0" w:rsidRPr="00BD54D0">
        <w:rPr>
          <w:lang w:val="en-US"/>
        </w:rPr>
        <w:t>repeat this</w:t>
      </w:r>
      <w:r w:rsidR="000B52EA">
        <w:rPr>
          <w:lang w:val="en-US"/>
        </w:rPr>
        <w:t xml:space="preserve"> a total of</w:t>
      </w:r>
      <w:r w:rsidR="00BD54D0" w:rsidRPr="00BD54D0">
        <w:rPr>
          <w:lang w:val="en-US"/>
        </w:rPr>
        <w:t xml:space="preserve"> </w:t>
      </w:r>
      <w:r w:rsidR="0085418D">
        <w:rPr>
          <w:lang w:val="en-US"/>
        </w:rPr>
        <w:t>20</w:t>
      </w:r>
      <w:r w:rsidR="00BD54D0" w:rsidRPr="00BD54D0">
        <w:rPr>
          <w:lang w:val="en-US"/>
        </w:rPr>
        <w:t xml:space="preserve"> different times taking out a different part each time</w:t>
      </w:r>
      <w:r w:rsidR="000B52EA">
        <w:rPr>
          <w:lang w:val="en-US"/>
        </w:rPr>
        <w:t xml:space="preserve">. Finally, </w:t>
      </w:r>
      <w:r w:rsidR="00BD54D0" w:rsidRPr="00BD54D0">
        <w:rPr>
          <w:lang w:val="en-US"/>
        </w:rPr>
        <w:t xml:space="preserve">averaging the </w:t>
      </w:r>
      <w:r w:rsidR="000B52EA">
        <w:rPr>
          <w:lang w:val="en-US"/>
        </w:rPr>
        <w:t>20</w:t>
      </w:r>
      <w:r w:rsidR="00BD54D0" w:rsidRPr="00BD54D0">
        <w:rPr>
          <w:lang w:val="en-US"/>
        </w:rPr>
        <w:t xml:space="preserve"> different MSE’s we get an estimated validation (test) error rate for new observations</w:t>
      </w:r>
      <w:r w:rsidR="000B52EA">
        <w:rPr>
          <w:lang w:val="en-US"/>
        </w:rPr>
        <w:t>.</w:t>
      </w:r>
    </w:p>
    <w:p w14:paraId="21A0AB67" w14:textId="4FD4368F" w:rsidR="00C234E2" w:rsidRPr="004D5444" w:rsidRDefault="00C234E2" w:rsidP="00C234E2">
      <w:pPr>
        <w:spacing w:line="480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MSE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BC9204D" w14:textId="075FB8EE" w:rsidR="004D5444" w:rsidRDefault="004D5444" w:rsidP="00C234E2">
      <w:pPr>
        <w:spacing w:line="480" w:lineRule="auto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MSE=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807E7B6" w14:textId="2689D3ED" w:rsidR="5AE03B70" w:rsidRDefault="5AE03B70" w:rsidP="5AE03B7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5AE03B70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Results</w:t>
      </w:r>
    </w:p>
    <w:p w14:paraId="0308E298" w14:textId="080958B8" w:rsidR="000D6984" w:rsidRDefault="5AE03B70" w:rsidP="5AE03B70">
      <w:pPr>
        <w:spacing w:line="480" w:lineRule="auto"/>
        <w:jc w:val="both"/>
        <w:rPr>
          <w:lang w:val="en-US"/>
        </w:rPr>
      </w:pPr>
      <w:r w:rsidRPr="5AE03B70">
        <w:rPr>
          <w:lang w:val="en-US"/>
        </w:rPr>
        <w:t>Performance</w:t>
      </w:r>
      <w:r w:rsidR="000D6984" w:rsidRPr="5AE03B70">
        <w:rPr>
          <w:lang w:val="en-US"/>
        </w:rPr>
        <w:t xml:space="preserve"> </w:t>
      </w:r>
      <w:r w:rsidR="000D6984">
        <w:rPr>
          <w:lang w:val="en-US"/>
        </w:rPr>
        <w:t>metrics</w:t>
      </w:r>
      <w:r w:rsidR="004A0E44">
        <w:rPr>
          <w:lang w:val="en-US"/>
        </w:rPr>
        <w:t xml:space="preserve"> we can use</w:t>
      </w:r>
      <w:r w:rsidR="000D6984">
        <w:rPr>
          <w:lang w:val="en-US"/>
        </w:rPr>
        <w:t>:</w:t>
      </w:r>
    </w:p>
    <w:p w14:paraId="4C20DE40" w14:textId="4C28848F" w:rsidR="00E64272" w:rsidRDefault="00601AD1" w:rsidP="490116F2">
      <w:pPr>
        <w:pStyle w:val="ListParagraph"/>
        <w:numPr>
          <w:ilvl w:val="0"/>
          <w:numId w:val="5"/>
        </w:numPr>
        <w:spacing w:line="480" w:lineRule="auto"/>
        <w:jc w:val="both"/>
        <w:rPr>
          <w:rFonts w:eastAsiaTheme="minorEastAsia"/>
          <w:b/>
          <w:lang w:val="en-US"/>
        </w:rPr>
      </w:pPr>
      <w:r w:rsidRPr="00886CBC">
        <w:rPr>
          <w:rFonts w:ascii="Times New Roman" w:hAnsi="Times New Roman" w:cs="Times New Roman"/>
          <w:b/>
          <w:bCs/>
          <w:lang w:val="en-US"/>
        </w:rPr>
        <w:t>Accuracy</w:t>
      </w:r>
    </w:p>
    <w:p w14:paraId="0D72121B" w14:textId="4C28848F" w:rsidR="00601AD1" w:rsidRDefault="00601AD1" w:rsidP="490116F2">
      <w:pPr>
        <w:pStyle w:val="ListParagraph"/>
        <w:numPr>
          <w:ilvl w:val="0"/>
          <w:numId w:val="5"/>
        </w:numPr>
        <w:spacing w:line="480" w:lineRule="auto"/>
        <w:jc w:val="both"/>
        <w:rPr>
          <w:rFonts w:eastAsiaTheme="minorEastAsia"/>
          <w:b/>
          <w:lang w:val="en-US"/>
        </w:rPr>
      </w:pPr>
      <w:r w:rsidRPr="00886CBC">
        <w:rPr>
          <w:rFonts w:ascii="Times New Roman" w:hAnsi="Times New Roman" w:cs="Times New Roman"/>
          <w:b/>
          <w:bCs/>
          <w:lang w:val="en-US"/>
        </w:rPr>
        <w:t>Sensitivity</w:t>
      </w:r>
    </w:p>
    <w:p w14:paraId="5C208C3A" w14:textId="5337088A" w:rsidR="75ED603B" w:rsidRDefault="0046689B" w:rsidP="00202E6F">
      <w:pPr>
        <w:pStyle w:val="ListParagraph"/>
        <w:numPr>
          <w:ilvl w:val="0"/>
          <w:numId w:val="5"/>
        </w:numPr>
        <w:spacing w:line="480" w:lineRule="auto"/>
        <w:jc w:val="both"/>
        <w:rPr>
          <w:rFonts w:eastAsiaTheme="minorEastAsia"/>
          <w:b/>
          <w:lang w:val="en-US"/>
        </w:rPr>
      </w:pPr>
      <w:r w:rsidRPr="00886CBC">
        <w:rPr>
          <w:rFonts w:ascii="Times New Roman" w:hAnsi="Times New Roman" w:cs="Times New Roman"/>
          <w:b/>
          <w:bCs/>
          <w:lang w:val="en-US"/>
        </w:rPr>
        <w:t xml:space="preserve">Specificity </w:t>
      </w:r>
    </w:p>
    <w:p w14:paraId="68768937" w14:textId="4C28848F" w:rsidR="00601AD1" w:rsidRDefault="00601AD1" w:rsidP="490116F2">
      <w:pPr>
        <w:pStyle w:val="ListParagraph"/>
        <w:numPr>
          <w:ilvl w:val="0"/>
          <w:numId w:val="5"/>
        </w:numPr>
        <w:spacing w:line="480" w:lineRule="auto"/>
        <w:jc w:val="both"/>
        <w:rPr>
          <w:rFonts w:eastAsiaTheme="minorEastAsia"/>
          <w:b/>
          <w:lang w:val="en-US"/>
        </w:rPr>
      </w:pPr>
      <w:r w:rsidRPr="00886CBC">
        <w:rPr>
          <w:rFonts w:ascii="Times New Roman" w:hAnsi="Times New Roman" w:cs="Times New Roman"/>
          <w:b/>
          <w:bCs/>
          <w:lang w:val="en-US"/>
        </w:rPr>
        <w:t xml:space="preserve">Precision </w:t>
      </w:r>
    </w:p>
    <w:p w14:paraId="179DF9E2" w14:textId="4C28848F" w:rsidR="000D6984" w:rsidRDefault="04076666" w:rsidP="490116F2">
      <w:pPr>
        <w:pStyle w:val="ListParagraph"/>
        <w:numPr>
          <w:ilvl w:val="0"/>
          <w:numId w:val="5"/>
        </w:numPr>
        <w:spacing w:line="480" w:lineRule="auto"/>
        <w:jc w:val="both"/>
        <w:rPr>
          <w:rFonts w:eastAsiaTheme="minorEastAsia"/>
          <w:b/>
          <w:highlight w:val="yellow"/>
          <w:lang w:val="en-US"/>
        </w:rPr>
      </w:pPr>
      <w:r w:rsidRPr="04076666">
        <w:rPr>
          <w:rFonts w:ascii="Times New Roman" w:hAnsi="Times New Roman" w:cs="Times New Roman"/>
          <w:b/>
          <w:bCs/>
          <w:highlight w:val="yellow"/>
          <w:lang w:val="en-US"/>
        </w:rPr>
        <w:t>F1-Score (Calculate Recall + Precision)</w:t>
      </w:r>
    </w:p>
    <w:p w14:paraId="3CC71FF5" w14:textId="4C28848F" w:rsidR="00B20F37" w:rsidRDefault="00B20F37" w:rsidP="490116F2">
      <w:pPr>
        <w:pStyle w:val="ListParagraph"/>
        <w:numPr>
          <w:ilvl w:val="0"/>
          <w:numId w:val="5"/>
        </w:numPr>
        <w:spacing w:line="480" w:lineRule="auto"/>
        <w:jc w:val="both"/>
        <w:rPr>
          <w:rFonts w:eastAsiaTheme="minorEastAsia"/>
          <w:b/>
          <w:lang w:val="en-US"/>
        </w:rPr>
      </w:pPr>
      <w:r w:rsidRPr="75ED603B">
        <w:rPr>
          <w:rFonts w:ascii="Times New Roman" w:hAnsi="Times New Roman" w:cs="Times New Roman"/>
          <w:b/>
          <w:strike/>
          <w:lang w:val="en-US"/>
        </w:rPr>
        <w:t>ROC Curve</w:t>
      </w:r>
    </w:p>
    <w:p w14:paraId="6F89142B" w14:textId="4C28848F" w:rsidR="00B74761" w:rsidRDefault="00B74761" w:rsidP="490116F2">
      <w:pPr>
        <w:pStyle w:val="ListParagraph"/>
        <w:numPr>
          <w:ilvl w:val="0"/>
          <w:numId w:val="5"/>
        </w:numPr>
        <w:spacing w:line="480" w:lineRule="auto"/>
        <w:jc w:val="both"/>
        <w:rPr>
          <w:rFonts w:eastAsiaTheme="minorEastAsia"/>
          <w:b/>
          <w:lang w:val="en-US"/>
        </w:rPr>
      </w:pPr>
      <w:r w:rsidRPr="75ED603B">
        <w:rPr>
          <w:rFonts w:ascii="Times New Roman" w:hAnsi="Times New Roman" w:cs="Times New Roman"/>
          <w:b/>
          <w:strike/>
          <w:lang w:val="en-US"/>
        </w:rPr>
        <w:t>AUC</w:t>
      </w:r>
    </w:p>
    <w:p w14:paraId="1647F1A9" w14:textId="71C5AC02" w:rsidR="490116F2" w:rsidRDefault="00B74761" w:rsidP="629E370A">
      <w:pPr>
        <w:pStyle w:val="ListParagraph"/>
        <w:numPr>
          <w:ilvl w:val="0"/>
          <w:numId w:val="5"/>
        </w:numPr>
        <w:spacing w:line="480" w:lineRule="auto"/>
        <w:jc w:val="both"/>
        <w:rPr>
          <w:rFonts w:eastAsiaTheme="minorEastAsia"/>
          <w:b/>
          <w:bCs/>
          <w:lang w:val="en-US"/>
        </w:rPr>
      </w:pPr>
      <w:r w:rsidRPr="38278F6F">
        <w:rPr>
          <w:rFonts w:ascii="Times New Roman" w:hAnsi="Times New Roman" w:cs="Times New Roman"/>
          <w:b/>
          <w:bCs/>
          <w:strike/>
          <w:lang w:val="en-US"/>
        </w:rPr>
        <w:t>Precision Recall Curve</w:t>
      </w:r>
    </w:p>
    <w:p w14:paraId="499060A4" w14:textId="22334716" w:rsidR="38278F6F" w:rsidRDefault="38278F6F" w:rsidP="38278F6F">
      <w:pPr>
        <w:spacing w:line="480" w:lineRule="auto"/>
        <w:jc w:val="both"/>
        <w:rPr>
          <w:b/>
          <w:bCs/>
          <w:lang w:val="en-US"/>
        </w:rPr>
      </w:pPr>
    </w:p>
    <w:p w14:paraId="44A52DCD" w14:textId="375D84C0" w:rsidR="38278F6F" w:rsidRDefault="38278F6F" w:rsidP="38278F6F">
      <w:pPr>
        <w:spacing w:line="480" w:lineRule="auto"/>
        <w:jc w:val="both"/>
        <w:rPr>
          <w:b/>
          <w:bCs/>
          <w:lang w:val="en-US"/>
        </w:rPr>
      </w:pPr>
      <w:r w:rsidRPr="38278F6F">
        <w:rPr>
          <w:b/>
          <w:bCs/>
          <w:lang w:val="en-US"/>
        </w:rPr>
        <w:t>Table 1. Classification Results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929E00C" w14:paraId="792F54D4" w14:textId="77777777" w:rsidTr="2929E00C">
        <w:trPr>
          <w:trHeight w:val="615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76DABD02" w14:textId="29EE4EFD" w:rsidR="2929E00C" w:rsidRDefault="2929E00C" w:rsidP="2929E00C">
            <w:pPr>
              <w:jc w:val="center"/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Classifier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22D63A" w14:textId="2D231C89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Kappa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C310D" w14:textId="43907CFA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Accuracy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BF992" w14:textId="59412CF6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Sensitivity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F624A" w14:textId="701A1351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Specificity</w:t>
            </w:r>
          </w:p>
        </w:tc>
      </w:tr>
      <w:tr w:rsidR="2929E00C" w14:paraId="1042D3FA" w14:textId="77777777" w:rsidTr="2929E00C">
        <w:trPr>
          <w:trHeight w:val="615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FF9F1BA" w14:textId="1EBAC735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Logistic Regression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E9844" w14:textId="2B9DDA30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0.8199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3FED4" w14:textId="2ADFFB83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0.9157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9C9B7DE" w14:textId="017EF5A3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0.8837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3AE89FA4" w14:textId="00ED0E1B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0.9672</w:t>
            </w:r>
          </w:p>
        </w:tc>
      </w:tr>
      <w:tr w:rsidR="2929E00C" w14:paraId="203C0293" w14:textId="77777777" w:rsidTr="2929E00C">
        <w:trPr>
          <w:trHeight w:val="615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04915BB" w14:textId="5225762E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Decision Tree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848D6" w14:textId="13678B3E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0.7197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2FB8F" w14:textId="4A78D58B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0.8679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72197A82" w14:textId="1F462317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0.9535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7C962C0F" w14:textId="04C46A53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0.8689</w:t>
            </w:r>
          </w:p>
        </w:tc>
      </w:tr>
      <w:tr w:rsidR="2929E00C" w14:paraId="42CECBE5" w14:textId="77777777" w:rsidTr="2929E00C">
        <w:trPr>
          <w:trHeight w:val="615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53D6457" w14:textId="26966E6B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lastRenderedPageBreak/>
              <w:t>Random Forest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C2A68" w14:textId="0732F20E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0.9589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740EB" w14:textId="279D3768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0.9807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4E66994" w14:textId="57A78EDA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0.8372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F64624B" w14:textId="31814C8D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0.9508</w:t>
            </w:r>
          </w:p>
        </w:tc>
      </w:tr>
      <w:tr w:rsidR="2929E00C" w14:paraId="4857F555" w14:textId="77777777" w:rsidTr="2929E00C">
        <w:trPr>
          <w:trHeight w:val="61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CAF139" w14:textId="08BC0BDF" w:rsidR="2929E00C" w:rsidRDefault="04BF8E8E" w:rsidP="2929E00C">
            <w:pPr>
              <w:jc w:val="center"/>
              <w:rPr>
                <w:color w:val="000000" w:themeColor="text1"/>
              </w:rPr>
            </w:pPr>
            <w:r w:rsidRPr="04BF8E8E">
              <w:rPr>
                <w:color w:val="000000" w:themeColor="text1"/>
              </w:rPr>
              <w:t>Naïve</w:t>
            </w:r>
            <w:r w:rsidR="2929E00C" w:rsidRPr="2929E00C">
              <w:rPr>
                <w:color w:val="000000" w:themeColor="text1"/>
              </w:rPr>
              <w:t xml:space="preserve"> Bayes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E2E9C78" w14:textId="1C761BF6" w:rsidR="2929E00C" w:rsidRDefault="2929E00C" w:rsidP="2929E00C">
            <w:pPr>
              <w:jc w:val="center"/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TRUE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47FFD" w14:textId="1298ADFA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0.6648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E9026" w14:textId="4E57B046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0.8309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252F60C" w14:textId="40C7EABC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0.9070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144BFC7" w14:textId="4216E83B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0.9016</w:t>
            </w:r>
          </w:p>
        </w:tc>
      </w:tr>
      <w:tr w:rsidR="2929E00C" w14:paraId="05E9511F" w14:textId="77777777" w:rsidTr="38278F6F">
        <w:trPr>
          <w:trHeight w:val="615"/>
        </w:trPr>
        <w:tc>
          <w:tcPr>
            <w:tcW w:w="1560" w:type="dxa"/>
            <w:vMerge/>
            <w:vAlign w:val="center"/>
          </w:tcPr>
          <w:p w14:paraId="456FDF0B" w14:textId="77777777" w:rsidR="00407CFC" w:rsidRDefault="00407CFC"/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82F6A" w14:textId="61E36B0D" w:rsidR="2929E00C" w:rsidRDefault="2929E00C" w:rsidP="2929E00C">
            <w:pPr>
              <w:jc w:val="center"/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FALSE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00F66" w14:textId="2A006F37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0.7563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073FA" w14:textId="7695108C" w:rsidR="2929E00C" w:rsidRDefault="2929E00C" w:rsidP="2929E00C">
            <w:pPr>
              <w:rPr>
                <w:color w:val="333333"/>
              </w:rPr>
            </w:pPr>
            <w:r w:rsidRPr="2929E00C">
              <w:rPr>
                <w:color w:val="333333"/>
              </w:rPr>
              <w:t>0.8863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3ECFCB9E" w14:textId="2296A347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0.9016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6E3F7237" w14:textId="6742FBEF" w:rsidR="2929E00C" w:rsidRDefault="2929E00C" w:rsidP="2929E00C">
            <w:pPr>
              <w:rPr>
                <w:color w:val="000000" w:themeColor="text1"/>
              </w:rPr>
            </w:pPr>
            <w:r w:rsidRPr="2929E00C">
              <w:rPr>
                <w:color w:val="000000" w:themeColor="text1"/>
              </w:rPr>
              <w:t>0.9016</w:t>
            </w:r>
          </w:p>
        </w:tc>
      </w:tr>
    </w:tbl>
    <w:p w14:paraId="72187056" w14:textId="066C0393" w:rsidR="75ED603B" w:rsidRDefault="38278F6F" w:rsidP="38278F6F">
      <w:pPr>
        <w:spacing w:line="480" w:lineRule="auto"/>
        <w:jc w:val="center"/>
        <w:rPr>
          <w:lang w:val="en-US"/>
        </w:rPr>
      </w:pPr>
      <w:r w:rsidRPr="38278F6F">
        <w:rPr>
          <w:lang w:val="en-US"/>
        </w:rPr>
        <w:t>(Results in blue are taken from confusion matrix instead of CV – not optimal)</w:t>
      </w:r>
    </w:p>
    <w:p w14:paraId="026A23C8" w14:textId="3E4AC321" w:rsidR="75ED603B" w:rsidRDefault="75ED603B" w:rsidP="75ED603B">
      <w:pPr>
        <w:spacing w:line="480" w:lineRule="auto"/>
        <w:ind w:left="708"/>
        <w:jc w:val="both"/>
        <w:rPr>
          <w:lang w:val="en-US"/>
        </w:rPr>
      </w:pPr>
    </w:p>
    <w:p w14:paraId="79CD68D6" w14:textId="57B4F296" w:rsidR="00476C56" w:rsidRDefault="00765881" w:rsidP="00132D68">
      <w:pPr>
        <w:spacing w:line="480" w:lineRule="auto"/>
        <w:ind w:firstLine="708"/>
        <w:rPr>
          <w:lang w:val="en-US"/>
        </w:rPr>
      </w:pPr>
      <w:r>
        <w:rPr>
          <w:lang w:val="en-US"/>
        </w:rPr>
        <w:t xml:space="preserve">The confusion matrix returns a set of 4 values. The true positive, true negative, false positive, and false negative </w:t>
      </w:r>
      <w:r w:rsidR="00E8229F">
        <w:rPr>
          <w:lang w:val="en-US"/>
        </w:rPr>
        <w:t>predictions</w:t>
      </w:r>
      <w:r>
        <w:rPr>
          <w:lang w:val="en-US"/>
        </w:rPr>
        <w:t xml:space="preserve">. The Accuracy of our models shown above are </w:t>
      </w:r>
      <w:r w:rsidR="00D451B2">
        <w:rPr>
          <w:lang w:val="en-US"/>
        </w:rPr>
        <w:t xml:space="preserve">a result of the true positive and negative values over the </w:t>
      </w:r>
      <w:r w:rsidR="00040A3F">
        <w:rPr>
          <w:lang w:val="en-US"/>
        </w:rPr>
        <w:t xml:space="preserve">total </w:t>
      </w:r>
      <w:r w:rsidR="00D10C98">
        <w:rPr>
          <w:lang w:val="en-US"/>
        </w:rPr>
        <w:t>amou</w:t>
      </w:r>
      <w:r w:rsidR="00362392">
        <w:rPr>
          <w:lang w:val="en-US"/>
        </w:rPr>
        <w:t>nt of predictions</w:t>
      </w:r>
      <w:r w:rsidR="00E8229F">
        <w:rPr>
          <w:lang w:val="en-US"/>
        </w:rPr>
        <w:t xml:space="preserve">. Sensitivity </w:t>
      </w:r>
      <w:r w:rsidR="00E1138E">
        <w:rPr>
          <w:lang w:val="en-US"/>
        </w:rPr>
        <w:t>(</w:t>
      </w:r>
      <w:r w:rsidR="00202E6F">
        <w:rPr>
          <w:lang w:val="en-US"/>
        </w:rPr>
        <w:t>or recall</w:t>
      </w:r>
      <w:r w:rsidR="00E1138E">
        <w:rPr>
          <w:lang w:val="en-US"/>
        </w:rPr>
        <w:t>)</w:t>
      </w:r>
      <w:r w:rsidR="00202E6F">
        <w:rPr>
          <w:lang w:val="en-US"/>
        </w:rPr>
        <w:t xml:space="preserve"> </w:t>
      </w:r>
      <w:r w:rsidR="006D6BE2">
        <w:rPr>
          <w:lang w:val="en-US"/>
        </w:rPr>
        <w:t xml:space="preserve">shows the </w:t>
      </w:r>
      <w:r w:rsidR="005C01B2">
        <w:rPr>
          <w:lang w:val="en-US"/>
        </w:rPr>
        <w:t>number</w:t>
      </w:r>
      <w:r w:rsidR="00471796">
        <w:rPr>
          <w:lang w:val="en-US"/>
        </w:rPr>
        <w:t xml:space="preserve"> of positive values which were accurately classified. Hence,</w:t>
      </w:r>
      <w:r w:rsidR="005C01B2">
        <w:rPr>
          <w:lang w:val="en-US"/>
        </w:rPr>
        <w:t xml:space="preserve"> sensitivity</w:t>
      </w:r>
      <w:r w:rsidR="00471796">
        <w:rPr>
          <w:lang w:val="en-US"/>
        </w:rPr>
        <w:t xml:space="preserve"> take</w:t>
      </w:r>
      <w:r w:rsidR="005C01B2">
        <w:rPr>
          <w:lang w:val="en-US"/>
        </w:rPr>
        <w:t>s</w:t>
      </w:r>
      <w:r w:rsidR="00471796">
        <w:rPr>
          <w:lang w:val="en-US"/>
        </w:rPr>
        <w:t xml:space="preserve"> the true positive prediction</w:t>
      </w:r>
      <w:r w:rsidR="005C01B2">
        <w:rPr>
          <w:lang w:val="en-US"/>
        </w:rPr>
        <w:t xml:space="preserve"> over the </w:t>
      </w:r>
      <w:r w:rsidR="008B116C">
        <w:rPr>
          <w:lang w:val="en-US"/>
        </w:rPr>
        <w:t xml:space="preserve">combination of the </w:t>
      </w:r>
      <w:r w:rsidR="005C01B2">
        <w:rPr>
          <w:lang w:val="en-US"/>
        </w:rPr>
        <w:t>true positive p</w:t>
      </w:r>
      <w:r w:rsidR="008B116C">
        <w:rPr>
          <w:lang w:val="en-US"/>
        </w:rPr>
        <w:t>lu</w:t>
      </w:r>
      <w:r w:rsidR="005C01B2">
        <w:rPr>
          <w:lang w:val="en-US"/>
        </w:rPr>
        <w:t xml:space="preserve">s the false negative values. </w:t>
      </w:r>
      <w:r w:rsidR="003E3115">
        <w:rPr>
          <w:lang w:val="en-US"/>
        </w:rPr>
        <w:t xml:space="preserve">Specificity </w:t>
      </w:r>
      <w:r w:rsidR="00EE73EB">
        <w:rPr>
          <w:lang w:val="en-US"/>
        </w:rPr>
        <w:t xml:space="preserve">shows the </w:t>
      </w:r>
      <w:r w:rsidR="002717CD">
        <w:rPr>
          <w:lang w:val="en-US"/>
        </w:rPr>
        <w:t>opposite of Sensiti</w:t>
      </w:r>
      <w:r w:rsidR="00730AFA">
        <w:rPr>
          <w:lang w:val="en-US"/>
        </w:rPr>
        <w:t>vity</w:t>
      </w:r>
      <w:r w:rsidR="00415720">
        <w:rPr>
          <w:lang w:val="en-US"/>
        </w:rPr>
        <w:t xml:space="preserve">, such that </w:t>
      </w:r>
      <w:r w:rsidR="00F30D3E">
        <w:rPr>
          <w:lang w:val="en-US"/>
        </w:rPr>
        <w:t xml:space="preserve">we find the number of negative values </w:t>
      </w:r>
      <w:r w:rsidR="00F711CB">
        <w:rPr>
          <w:lang w:val="en-US"/>
        </w:rPr>
        <w:t xml:space="preserve">accurately classified. </w:t>
      </w:r>
      <w:r w:rsidR="0071397A">
        <w:rPr>
          <w:lang w:val="en-US"/>
        </w:rPr>
        <w:t>Therefore</w:t>
      </w:r>
      <w:r w:rsidR="00132D68">
        <w:rPr>
          <w:lang w:val="en-US"/>
        </w:rPr>
        <w:t>,</w:t>
      </w:r>
      <w:r w:rsidR="0071397A">
        <w:rPr>
          <w:lang w:val="en-US"/>
        </w:rPr>
        <w:t xml:space="preserve"> </w:t>
      </w:r>
      <w:r w:rsidR="00132D68">
        <w:rPr>
          <w:lang w:val="en-US"/>
        </w:rPr>
        <w:t>specificity</w:t>
      </w:r>
      <w:r w:rsidR="0071397A">
        <w:rPr>
          <w:lang w:val="en-US"/>
        </w:rPr>
        <w:t xml:space="preserve"> is calculated by taking true negative predictions over t</w:t>
      </w:r>
      <w:r w:rsidR="008B116C">
        <w:rPr>
          <w:lang w:val="en-US"/>
        </w:rPr>
        <w:t>he combination of the t</w:t>
      </w:r>
      <w:r w:rsidR="0071397A">
        <w:rPr>
          <w:lang w:val="en-US"/>
        </w:rPr>
        <w:t xml:space="preserve">rue negative plus false positive </w:t>
      </w:r>
      <w:r w:rsidR="00132D68">
        <w:rPr>
          <w:lang w:val="en-US"/>
        </w:rPr>
        <w:t xml:space="preserve">values. </w:t>
      </w:r>
    </w:p>
    <w:p w14:paraId="5ED3E633" w14:textId="1B483D6E" w:rsidR="00132D68" w:rsidRPr="006D4542" w:rsidRDefault="00132D68" w:rsidP="008B4FD1">
      <w:pPr>
        <w:spacing w:line="480" w:lineRule="auto"/>
        <w:rPr>
          <w:lang w:val="en-US"/>
        </w:rPr>
      </w:pPr>
      <w:r>
        <w:rPr>
          <w:lang w:val="en-US"/>
        </w:rPr>
        <w:tab/>
        <w:t>Taking this into consideration</w:t>
      </w:r>
      <w:r w:rsidR="001D6AAC">
        <w:rPr>
          <w:lang w:val="en-US"/>
        </w:rPr>
        <w:t>, besides</w:t>
      </w:r>
      <w:r w:rsidR="00886F8D">
        <w:rPr>
          <w:lang w:val="en-US"/>
        </w:rPr>
        <w:t xml:space="preserve"> finding </w:t>
      </w:r>
      <w:r w:rsidR="00195B82">
        <w:rPr>
          <w:lang w:val="en-US"/>
        </w:rPr>
        <w:t xml:space="preserve">the best </w:t>
      </w:r>
      <w:r w:rsidR="00886F8D">
        <w:rPr>
          <w:lang w:val="en-US"/>
        </w:rPr>
        <w:t>accuracy</w:t>
      </w:r>
      <w:r w:rsidR="00195B82">
        <w:rPr>
          <w:lang w:val="en-US"/>
        </w:rPr>
        <w:t>,</w:t>
      </w:r>
      <w:r>
        <w:rPr>
          <w:lang w:val="en-US"/>
        </w:rPr>
        <w:t xml:space="preserve"> </w:t>
      </w:r>
      <w:r w:rsidR="00D95067">
        <w:rPr>
          <w:lang w:val="en-US"/>
        </w:rPr>
        <w:t xml:space="preserve">our aims in finding the right model for our </w:t>
      </w:r>
      <w:r w:rsidR="00894AC0">
        <w:rPr>
          <w:lang w:val="en-US"/>
        </w:rPr>
        <w:t>classifier would be to</w:t>
      </w:r>
      <w:r w:rsidR="00195B82">
        <w:rPr>
          <w:lang w:val="en-US"/>
        </w:rPr>
        <w:t xml:space="preserve"> also</w:t>
      </w:r>
      <w:r w:rsidR="00894AC0">
        <w:rPr>
          <w:lang w:val="en-US"/>
        </w:rPr>
        <w:t xml:space="preserve"> </w:t>
      </w:r>
      <w:r w:rsidR="00FF2304">
        <w:rPr>
          <w:lang w:val="en-US"/>
        </w:rPr>
        <w:t xml:space="preserve">have </w:t>
      </w:r>
      <w:r w:rsidR="00917000">
        <w:rPr>
          <w:lang w:val="en-US"/>
        </w:rPr>
        <w:t xml:space="preserve">a </w:t>
      </w:r>
      <w:r w:rsidR="00FF2304">
        <w:rPr>
          <w:lang w:val="en-US"/>
        </w:rPr>
        <w:t>high s</w:t>
      </w:r>
      <w:r w:rsidR="00AE74A8">
        <w:rPr>
          <w:lang w:val="en-US"/>
        </w:rPr>
        <w:t>pecifi</w:t>
      </w:r>
      <w:r w:rsidR="00A86078">
        <w:rPr>
          <w:lang w:val="en-US"/>
        </w:rPr>
        <w:t>ci</w:t>
      </w:r>
      <w:r w:rsidR="00AE74A8">
        <w:rPr>
          <w:lang w:val="en-US"/>
        </w:rPr>
        <w:t>ty</w:t>
      </w:r>
      <w:r w:rsidR="00D24AE1">
        <w:rPr>
          <w:lang w:val="en-US"/>
        </w:rPr>
        <w:t>.</w:t>
      </w:r>
      <w:r w:rsidR="005B384C">
        <w:rPr>
          <w:lang w:val="en-US"/>
        </w:rPr>
        <w:t xml:space="preserve"> </w:t>
      </w:r>
      <w:r w:rsidR="00802F80">
        <w:rPr>
          <w:lang w:val="en-US"/>
        </w:rPr>
        <w:t xml:space="preserve">Although high sensitivity would </w:t>
      </w:r>
      <w:r w:rsidR="008D1BAF">
        <w:rPr>
          <w:lang w:val="en-US"/>
        </w:rPr>
        <w:t xml:space="preserve">be ideal, it can carry less weight because going to verify a diagnosis with a physician </w:t>
      </w:r>
      <w:r w:rsidR="00015122">
        <w:rPr>
          <w:lang w:val="en-US"/>
        </w:rPr>
        <w:t xml:space="preserve">does not carry </w:t>
      </w:r>
      <w:r w:rsidR="00DC4BC2">
        <w:rPr>
          <w:lang w:val="en-US"/>
        </w:rPr>
        <w:t xml:space="preserve">much </w:t>
      </w:r>
      <w:r w:rsidR="00311363">
        <w:rPr>
          <w:lang w:val="en-US"/>
        </w:rPr>
        <w:t>concern</w:t>
      </w:r>
      <w:r w:rsidR="001134A0">
        <w:rPr>
          <w:lang w:val="en-US"/>
        </w:rPr>
        <w:t>.</w:t>
      </w:r>
      <w:r w:rsidR="00BA0978">
        <w:rPr>
          <w:lang w:val="en-US"/>
        </w:rPr>
        <w:t xml:space="preserve"> </w:t>
      </w:r>
      <w:r w:rsidR="001134A0">
        <w:rPr>
          <w:lang w:val="en-US"/>
        </w:rPr>
        <w:t>B</w:t>
      </w:r>
      <w:r w:rsidR="00BA0978">
        <w:rPr>
          <w:lang w:val="en-US"/>
        </w:rPr>
        <w:t>eing</w:t>
      </w:r>
      <w:r w:rsidR="00D0578A">
        <w:rPr>
          <w:lang w:val="en-US"/>
        </w:rPr>
        <w:t xml:space="preserve"> </w:t>
      </w:r>
      <w:r w:rsidR="001134A0">
        <w:rPr>
          <w:lang w:val="en-US"/>
        </w:rPr>
        <w:t>positive</w:t>
      </w:r>
      <w:r w:rsidR="00D0578A">
        <w:rPr>
          <w:lang w:val="en-US"/>
        </w:rPr>
        <w:t xml:space="preserve"> b</w:t>
      </w:r>
      <w:r w:rsidR="00E6789B">
        <w:rPr>
          <w:lang w:val="en-US"/>
        </w:rPr>
        <w:t xml:space="preserve">ut believing you may be </w:t>
      </w:r>
      <w:r w:rsidR="001134A0">
        <w:rPr>
          <w:lang w:val="en-US"/>
        </w:rPr>
        <w:t>fine because you received a negative prediction</w:t>
      </w:r>
      <w:r w:rsidR="003E1968">
        <w:rPr>
          <w:lang w:val="en-US"/>
        </w:rPr>
        <w:t xml:space="preserve"> would cause more long-term harm.</w:t>
      </w:r>
      <w:r w:rsidR="001134A0">
        <w:rPr>
          <w:lang w:val="en-US"/>
        </w:rPr>
        <w:t xml:space="preserve"> In our </w:t>
      </w:r>
      <w:r w:rsidR="000B13FB">
        <w:rPr>
          <w:lang w:val="en-US"/>
        </w:rPr>
        <w:t>classification models</w:t>
      </w:r>
      <w:r w:rsidR="0048745B">
        <w:rPr>
          <w:lang w:val="en-US"/>
        </w:rPr>
        <w:t xml:space="preserve">, </w:t>
      </w:r>
      <w:r w:rsidR="005718FA">
        <w:rPr>
          <w:lang w:val="en-US"/>
        </w:rPr>
        <w:t xml:space="preserve">the </w:t>
      </w:r>
      <w:r w:rsidR="0048745B">
        <w:rPr>
          <w:lang w:val="en-US"/>
        </w:rPr>
        <w:t xml:space="preserve">Random </w:t>
      </w:r>
      <w:r w:rsidR="005718FA">
        <w:rPr>
          <w:lang w:val="en-US"/>
        </w:rPr>
        <w:t xml:space="preserve">Forest model </w:t>
      </w:r>
      <w:r w:rsidR="00B05BF4">
        <w:rPr>
          <w:lang w:val="en-US"/>
        </w:rPr>
        <w:t xml:space="preserve">gives us high accuracy </w:t>
      </w:r>
      <w:r w:rsidR="002639CB">
        <w:rPr>
          <w:lang w:val="en-US"/>
        </w:rPr>
        <w:t xml:space="preserve">along with high specificity. Therefore, we chose this model to </w:t>
      </w:r>
      <w:r w:rsidR="000D0CDE">
        <w:rPr>
          <w:lang w:val="en-US"/>
        </w:rPr>
        <w:t xml:space="preserve">find our </w:t>
      </w:r>
      <w:r w:rsidR="002C362F">
        <w:rPr>
          <w:lang w:val="en-US"/>
        </w:rPr>
        <w:t xml:space="preserve">most important response values. </w:t>
      </w:r>
    </w:p>
    <w:p w14:paraId="7C1204B3" w14:textId="77777777" w:rsidR="00476C56" w:rsidRPr="006D4542" w:rsidRDefault="00476C56" w:rsidP="008B4FD1">
      <w:pPr>
        <w:spacing w:line="480" w:lineRule="auto"/>
        <w:rPr>
          <w:lang w:val="en-US"/>
        </w:rPr>
      </w:pPr>
      <w:r w:rsidRPr="006D4542">
        <w:rPr>
          <w:lang w:val="en-US"/>
        </w:rPr>
        <w:br w:type="page"/>
      </w:r>
    </w:p>
    <w:p w14:paraId="57974499" w14:textId="77777777" w:rsidR="00805B1B" w:rsidRDefault="00805B1B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5BB65F73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760909FF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2546C757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451CF1FB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6A4310E5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5E0FDED0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3610E1A5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4FD94A2E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3138247C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1145EAC8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136D9844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6D9FFE6D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4EDC09B9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12D8181A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283AD098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6D79999C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3BA98B70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12B11519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78218922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68D8C3B2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329E14F4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2CD0C2F9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7BFA85EA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2613F66F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7E3114D2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4D4D8302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0E2B324E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62D91E61" w14:textId="77777777" w:rsidR="002C362F" w:rsidRDefault="002C362F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034DD0F2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7CE9E579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2D80C78B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3C0BCB99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123E37A6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55178BD6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0E9C4356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111F11B2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5F1BC090" w14:textId="77777777" w:rsidR="00A60BD7" w:rsidRDefault="00A60BD7" w:rsidP="00933786">
      <w:pPr>
        <w:pBdr>
          <w:bottom w:val="single" w:sz="6" w:space="1" w:color="auto"/>
        </w:pBdr>
        <w:spacing w:line="480" w:lineRule="auto"/>
        <w:rPr>
          <w:sz w:val="15"/>
          <w:szCs w:val="15"/>
          <w:lang w:val="en-US"/>
        </w:rPr>
      </w:pPr>
    </w:p>
    <w:p w14:paraId="19E7294C" w14:textId="565B0EBC" w:rsidR="00805B1B" w:rsidRDefault="00805B1B">
      <w:pPr>
        <w:rPr>
          <w:sz w:val="15"/>
          <w:szCs w:val="15"/>
          <w:lang w:val="en-US"/>
        </w:rPr>
      </w:pPr>
    </w:p>
    <w:p w14:paraId="6ECE3697" w14:textId="7BBB88CC" w:rsidR="0018379C" w:rsidRDefault="00FD1C6C" w:rsidP="04076666">
      <w:pPr>
        <w:spacing w:line="480" w:lineRule="auto"/>
        <w:jc w:val="center"/>
        <w:rPr>
          <w:color w:val="303030"/>
          <w:lang w:val="en-US"/>
        </w:rPr>
      </w:pPr>
      <w:r w:rsidRPr="04076666">
        <w:rPr>
          <w:color w:val="303030"/>
          <w:lang w:val="en-US"/>
        </w:rPr>
        <w:t>Current Citations</w:t>
      </w:r>
      <w:r w:rsidR="04076666" w:rsidRPr="04076666">
        <w:rPr>
          <w:color w:val="303030"/>
          <w:lang w:val="en-US"/>
        </w:rPr>
        <w:t xml:space="preserve"> </w:t>
      </w:r>
    </w:p>
    <w:p w14:paraId="27A13EA1" w14:textId="72EB57F3" w:rsidR="0018379C" w:rsidRDefault="0018379C" w:rsidP="08DAD789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03030"/>
          <w:lang w:val="en-US"/>
        </w:rPr>
      </w:pPr>
      <w:r w:rsidRPr="04076666">
        <w:rPr>
          <w:rFonts w:ascii="Times New Roman" w:eastAsia="Times New Roman" w:hAnsi="Times New Roman" w:cs="Times New Roman"/>
          <w:color w:val="303030"/>
          <w:lang w:val="en-US"/>
        </w:rPr>
        <w:t>Kaul K, Tarr JM, Ahmad SI, Kohner EM, Chibber R. Introduction to diabetes mellitus. Adv Exp Med Biol. 2012;771:1-11. doi: 10.1007/978-1-4614-5441-0_1. PMID: 23393665.</w:t>
      </w:r>
      <w:r w:rsidR="04076666" w:rsidRPr="04076666">
        <w:rPr>
          <w:rFonts w:ascii="Times New Roman" w:eastAsia="Times New Roman" w:hAnsi="Times New Roman" w:cs="Times New Roman"/>
          <w:color w:val="303030"/>
          <w:lang w:val="en-US"/>
        </w:rPr>
        <w:t xml:space="preserve"> </w:t>
      </w:r>
    </w:p>
    <w:p w14:paraId="2E1FDCAC" w14:textId="054B7A52" w:rsidR="04076666" w:rsidRDefault="04076666" w:rsidP="08DAD789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03030"/>
          <w:lang w:val="en-US"/>
        </w:rPr>
      </w:pPr>
      <w:r w:rsidRPr="04076666">
        <w:rPr>
          <w:rFonts w:ascii="Times New Roman" w:eastAsia="Times New Roman" w:hAnsi="Times New Roman" w:cs="Times New Roman"/>
          <w:color w:val="303030"/>
          <w:lang w:val="en-US"/>
        </w:rPr>
        <w:t xml:space="preserve">Hilary King, Ronald E Aubert, William H Herman; Global Burden of Diabetes, 1995–2025: Prevalence, numerical estimates, and projections. Diabetes Care 1 September 1998; 21 (9): 1414–1431. https://doi.org/10.2337/diacare.21.9.1414 </w:t>
      </w:r>
    </w:p>
    <w:p w14:paraId="3E969350" w14:textId="6E30C44A" w:rsidR="0018379C" w:rsidRDefault="000A3AA0" w:rsidP="08DAD789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303030"/>
          <w:lang w:val="en-US"/>
        </w:rPr>
      </w:pPr>
      <w:r w:rsidRPr="04076666">
        <w:rPr>
          <w:rFonts w:ascii="Times New Roman" w:eastAsia="Times New Roman" w:hAnsi="Times New Roman" w:cs="Times New Roman"/>
          <w:color w:val="303030"/>
          <w:lang w:val="en-US"/>
        </w:rPr>
        <w:t>Tabák, A. G., Herder, C., Rathmann, W., Brunner, E. J., &amp; Kivimäki, M. (2012). Prediabetes: a high-risk state for diabetes development. </w:t>
      </w:r>
      <w:r w:rsidRPr="08DAD789">
        <w:rPr>
          <w:rFonts w:ascii="Times New Roman" w:eastAsia="Times New Roman" w:hAnsi="Times New Roman" w:cs="Times New Roman"/>
          <w:color w:val="303030"/>
          <w:lang w:val="en-US"/>
        </w:rPr>
        <w:t>Lancet (London, England), 379(9833), 2279–2290. https://doi.org/10.1016/S0140-6736(12)60283-9</w:t>
      </w:r>
    </w:p>
    <w:p w14:paraId="13312E5E" w14:textId="77777777" w:rsidR="000A3AA0" w:rsidRPr="006D4542" w:rsidRDefault="000A3AA0" w:rsidP="008B4FD1">
      <w:pPr>
        <w:spacing w:line="480" w:lineRule="auto"/>
        <w:ind w:left="708"/>
        <w:rPr>
          <w:sz w:val="15"/>
          <w:szCs w:val="15"/>
          <w:lang w:val="en-US"/>
        </w:rPr>
      </w:pPr>
    </w:p>
    <w:p w14:paraId="4FDD94AF" w14:textId="0B6B1E1B" w:rsidR="00476C56" w:rsidRPr="00A60BD7" w:rsidRDefault="00D400FA" w:rsidP="00A60BD7">
      <w:pPr>
        <w:spacing w:line="480" w:lineRule="auto"/>
        <w:rPr>
          <w:sz w:val="15"/>
          <w:szCs w:val="15"/>
          <w:lang w:val="en-US"/>
        </w:rPr>
      </w:pPr>
      <w:hyperlink r:id="rId9" w:history="1">
        <w:r w:rsidR="00476C56" w:rsidRPr="006D4542">
          <w:rPr>
            <w:rStyle w:val="Hyperlink"/>
            <w:sz w:val="15"/>
            <w:szCs w:val="15"/>
            <w:lang w:val="en-US"/>
          </w:rPr>
          <w:t>https://www.cdc.gov/diabetes/basics/prediabetes.html</w:t>
        </w:r>
      </w:hyperlink>
    </w:p>
    <w:sectPr w:rsidR="00476C56" w:rsidRPr="00A60BD7" w:rsidSect="00AB6D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E01F" w14:textId="77777777" w:rsidR="005E2DB8" w:rsidRDefault="005E2DB8" w:rsidP="00476C56">
      <w:r>
        <w:separator/>
      </w:r>
    </w:p>
  </w:endnote>
  <w:endnote w:type="continuationSeparator" w:id="0">
    <w:p w14:paraId="4DF28DB3" w14:textId="77777777" w:rsidR="005E2DB8" w:rsidRDefault="005E2DB8" w:rsidP="00476C56">
      <w:r>
        <w:continuationSeparator/>
      </w:r>
    </w:p>
  </w:endnote>
  <w:endnote w:type="continuationNotice" w:id="1">
    <w:p w14:paraId="577DB231" w14:textId="77777777" w:rsidR="005E2DB8" w:rsidRDefault="005E2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ED603B" w14:paraId="43964315" w14:textId="77777777" w:rsidTr="75ED603B">
      <w:tc>
        <w:tcPr>
          <w:tcW w:w="3120" w:type="dxa"/>
        </w:tcPr>
        <w:p w14:paraId="29146ACF" w14:textId="2BA97282" w:rsidR="75ED603B" w:rsidRDefault="75ED603B" w:rsidP="75ED603B">
          <w:pPr>
            <w:pStyle w:val="Header"/>
            <w:ind w:left="-115"/>
          </w:pPr>
        </w:p>
      </w:tc>
      <w:tc>
        <w:tcPr>
          <w:tcW w:w="3120" w:type="dxa"/>
        </w:tcPr>
        <w:p w14:paraId="174C0B30" w14:textId="6718C2A5" w:rsidR="75ED603B" w:rsidRDefault="75ED603B" w:rsidP="75ED603B">
          <w:pPr>
            <w:pStyle w:val="Header"/>
            <w:jc w:val="center"/>
          </w:pPr>
        </w:p>
      </w:tc>
      <w:tc>
        <w:tcPr>
          <w:tcW w:w="3120" w:type="dxa"/>
        </w:tcPr>
        <w:p w14:paraId="1DA88812" w14:textId="4822074F" w:rsidR="75ED603B" w:rsidRDefault="75ED603B" w:rsidP="75ED603B">
          <w:pPr>
            <w:pStyle w:val="Header"/>
            <w:ind w:right="-115"/>
            <w:jc w:val="right"/>
          </w:pPr>
        </w:p>
      </w:tc>
    </w:tr>
  </w:tbl>
  <w:p w14:paraId="356207D3" w14:textId="2BD86415" w:rsidR="002E562E" w:rsidRDefault="002E5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48CF" w14:textId="77777777" w:rsidR="005E2DB8" w:rsidRDefault="005E2DB8" w:rsidP="00476C56">
      <w:r>
        <w:separator/>
      </w:r>
    </w:p>
  </w:footnote>
  <w:footnote w:type="continuationSeparator" w:id="0">
    <w:p w14:paraId="19388432" w14:textId="77777777" w:rsidR="005E2DB8" w:rsidRDefault="005E2DB8" w:rsidP="00476C56">
      <w:r>
        <w:continuationSeparator/>
      </w:r>
    </w:p>
  </w:footnote>
  <w:footnote w:type="continuationNotice" w:id="1">
    <w:p w14:paraId="76B1126C" w14:textId="77777777" w:rsidR="005E2DB8" w:rsidRDefault="005E2D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ED603B" w14:paraId="1E2C2159" w14:textId="77777777" w:rsidTr="75ED603B">
      <w:tc>
        <w:tcPr>
          <w:tcW w:w="3120" w:type="dxa"/>
        </w:tcPr>
        <w:p w14:paraId="4A6C7937" w14:textId="08E096BA" w:rsidR="75ED603B" w:rsidRDefault="75ED603B" w:rsidP="75ED603B">
          <w:pPr>
            <w:pStyle w:val="Header"/>
            <w:ind w:left="-115"/>
          </w:pPr>
        </w:p>
      </w:tc>
      <w:tc>
        <w:tcPr>
          <w:tcW w:w="3120" w:type="dxa"/>
        </w:tcPr>
        <w:p w14:paraId="2C0D8BEB" w14:textId="7B07140C" w:rsidR="75ED603B" w:rsidRDefault="75ED603B" w:rsidP="75ED603B">
          <w:pPr>
            <w:pStyle w:val="Header"/>
            <w:jc w:val="center"/>
          </w:pPr>
        </w:p>
      </w:tc>
      <w:tc>
        <w:tcPr>
          <w:tcW w:w="3120" w:type="dxa"/>
        </w:tcPr>
        <w:p w14:paraId="02F81E6A" w14:textId="7FA6A760" w:rsidR="75ED603B" w:rsidRDefault="75ED603B" w:rsidP="75ED603B">
          <w:pPr>
            <w:pStyle w:val="Header"/>
            <w:ind w:right="-115"/>
            <w:jc w:val="right"/>
          </w:pPr>
        </w:p>
      </w:tc>
    </w:tr>
  </w:tbl>
  <w:p w14:paraId="6C11E973" w14:textId="44F74E04" w:rsidR="002E562E" w:rsidRDefault="002E562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vu8yCNAGyEi6H" int2:id="y9mUEB3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AAD"/>
    <w:multiLevelType w:val="hybridMultilevel"/>
    <w:tmpl w:val="1A7437AC"/>
    <w:lvl w:ilvl="0" w:tplc="1C3A1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FCF1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B440CD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BCDD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524A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00E89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EE9F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A0F1D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AB431A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D1D19"/>
    <w:multiLevelType w:val="hybridMultilevel"/>
    <w:tmpl w:val="576E6790"/>
    <w:lvl w:ilvl="0" w:tplc="17CA101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6A516A"/>
    <w:multiLevelType w:val="hybridMultilevel"/>
    <w:tmpl w:val="1F3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7D96"/>
    <w:multiLevelType w:val="hybridMultilevel"/>
    <w:tmpl w:val="FFFFFFFF"/>
    <w:lvl w:ilvl="0" w:tplc="8662F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E7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08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A3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AD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0A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4B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E3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C7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13479"/>
    <w:multiLevelType w:val="hybridMultilevel"/>
    <w:tmpl w:val="FFFFFFFF"/>
    <w:lvl w:ilvl="0" w:tplc="925A0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FA02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4888A4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BEC8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525F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0BC3C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E060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7A74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CFA854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123036"/>
    <w:multiLevelType w:val="hybridMultilevel"/>
    <w:tmpl w:val="FFFFFFFF"/>
    <w:lvl w:ilvl="0" w:tplc="ABFED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403B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E1684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5EA5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1ED3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4A07F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DE2C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8601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0E8DC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BE0038"/>
    <w:multiLevelType w:val="hybridMultilevel"/>
    <w:tmpl w:val="22F684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F71E8"/>
    <w:multiLevelType w:val="hybridMultilevel"/>
    <w:tmpl w:val="657EE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93E0C"/>
    <w:multiLevelType w:val="hybridMultilevel"/>
    <w:tmpl w:val="1C1004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5A"/>
    <w:rsid w:val="00002EAD"/>
    <w:rsid w:val="00015122"/>
    <w:rsid w:val="000168C3"/>
    <w:rsid w:val="00022D92"/>
    <w:rsid w:val="00023939"/>
    <w:rsid w:val="00040A3F"/>
    <w:rsid w:val="00041B26"/>
    <w:rsid w:val="00046F7F"/>
    <w:rsid w:val="00053754"/>
    <w:rsid w:val="00060C8C"/>
    <w:rsid w:val="00074CBB"/>
    <w:rsid w:val="00084F45"/>
    <w:rsid w:val="0008686E"/>
    <w:rsid w:val="00090BDC"/>
    <w:rsid w:val="000A3AA0"/>
    <w:rsid w:val="000B13FB"/>
    <w:rsid w:val="000B52EA"/>
    <w:rsid w:val="000D0CDE"/>
    <w:rsid w:val="000D4B08"/>
    <w:rsid w:val="000D6984"/>
    <w:rsid w:val="000E0F66"/>
    <w:rsid w:val="000E71CB"/>
    <w:rsid w:val="000F0750"/>
    <w:rsid w:val="00106D22"/>
    <w:rsid w:val="001134A0"/>
    <w:rsid w:val="0012144E"/>
    <w:rsid w:val="00132D68"/>
    <w:rsid w:val="00136A3F"/>
    <w:rsid w:val="00136DAC"/>
    <w:rsid w:val="001425A0"/>
    <w:rsid w:val="00143444"/>
    <w:rsid w:val="001651BE"/>
    <w:rsid w:val="00166FAE"/>
    <w:rsid w:val="001701FE"/>
    <w:rsid w:val="00173135"/>
    <w:rsid w:val="00173983"/>
    <w:rsid w:val="001818E5"/>
    <w:rsid w:val="0018379C"/>
    <w:rsid w:val="0018692C"/>
    <w:rsid w:val="001911E1"/>
    <w:rsid w:val="00195B82"/>
    <w:rsid w:val="001A0EB7"/>
    <w:rsid w:val="001A25F3"/>
    <w:rsid w:val="001B3FE3"/>
    <w:rsid w:val="001C7629"/>
    <w:rsid w:val="001D38EF"/>
    <w:rsid w:val="001D6AAC"/>
    <w:rsid w:val="001E0675"/>
    <w:rsid w:val="001E2F30"/>
    <w:rsid w:val="001E71F1"/>
    <w:rsid w:val="001E7EED"/>
    <w:rsid w:val="00202E6F"/>
    <w:rsid w:val="00204EC9"/>
    <w:rsid w:val="002122DC"/>
    <w:rsid w:val="0021283F"/>
    <w:rsid w:val="002168D4"/>
    <w:rsid w:val="00231E9B"/>
    <w:rsid w:val="002539FF"/>
    <w:rsid w:val="00256919"/>
    <w:rsid w:val="002639CB"/>
    <w:rsid w:val="002712EC"/>
    <w:rsid w:val="002717CD"/>
    <w:rsid w:val="00282D49"/>
    <w:rsid w:val="002940F1"/>
    <w:rsid w:val="00294341"/>
    <w:rsid w:val="002A1C9C"/>
    <w:rsid w:val="002A6275"/>
    <w:rsid w:val="002C362F"/>
    <w:rsid w:val="002C43E4"/>
    <w:rsid w:val="002E333F"/>
    <w:rsid w:val="002E562E"/>
    <w:rsid w:val="002F616D"/>
    <w:rsid w:val="00303E74"/>
    <w:rsid w:val="0030517C"/>
    <w:rsid w:val="0030781E"/>
    <w:rsid w:val="00311363"/>
    <w:rsid w:val="00316C3D"/>
    <w:rsid w:val="00317AF8"/>
    <w:rsid w:val="00321685"/>
    <w:rsid w:val="00325149"/>
    <w:rsid w:val="00326542"/>
    <w:rsid w:val="00332D28"/>
    <w:rsid w:val="00336608"/>
    <w:rsid w:val="00340FDB"/>
    <w:rsid w:val="00343D43"/>
    <w:rsid w:val="00345B05"/>
    <w:rsid w:val="00353BD0"/>
    <w:rsid w:val="00362392"/>
    <w:rsid w:val="00364CC7"/>
    <w:rsid w:val="003659B9"/>
    <w:rsid w:val="00381EE1"/>
    <w:rsid w:val="00386897"/>
    <w:rsid w:val="00390D52"/>
    <w:rsid w:val="00391887"/>
    <w:rsid w:val="00395793"/>
    <w:rsid w:val="003978AA"/>
    <w:rsid w:val="003B5D32"/>
    <w:rsid w:val="003D18D6"/>
    <w:rsid w:val="003D2FF9"/>
    <w:rsid w:val="003E0496"/>
    <w:rsid w:val="003E1968"/>
    <w:rsid w:val="003E2C9D"/>
    <w:rsid w:val="003E3115"/>
    <w:rsid w:val="003E3C96"/>
    <w:rsid w:val="003E5274"/>
    <w:rsid w:val="003E588F"/>
    <w:rsid w:val="003F010C"/>
    <w:rsid w:val="003F574F"/>
    <w:rsid w:val="00407CFC"/>
    <w:rsid w:val="0041239E"/>
    <w:rsid w:val="00415533"/>
    <w:rsid w:val="00415720"/>
    <w:rsid w:val="00431C71"/>
    <w:rsid w:val="00432F3E"/>
    <w:rsid w:val="004516FC"/>
    <w:rsid w:val="00451C26"/>
    <w:rsid w:val="0046689B"/>
    <w:rsid w:val="00471796"/>
    <w:rsid w:val="00476BA4"/>
    <w:rsid w:val="00476C56"/>
    <w:rsid w:val="00486545"/>
    <w:rsid w:val="00486F75"/>
    <w:rsid w:val="0048745B"/>
    <w:rsid w:val="004915A3"/>
    <w:rsid w:val="004A0E44"/>
    <w:rsid w:val="004A6CBC"/>
    <w:rsid w:val="004B2C91"/>
    <w:rsid w:val="004B4B11"/>
    <w:rsid w:val="004B76C6"/>
    <w:rsid w:val="004C4BE5"/>
    <w:rsid w:val="004D423D"/>
    <w:rsid w:val="004D51B7"/>
    <w:rsid w:val="004D5444"/>
    <w:rsid w:val="004D5E64"/>
    <w:rsid w:val="004E4B1B"/>
    <w:rsid w:val="004F0921"/>
    <w:rsid w:val="004F1D55"/>
    <w:rsid w:val="0052317F"/>
    <w:rsid w:val="0053053A"/>
    <w:rsid w:val="00543E39"/>
    <w:rsid w:val="00556238"/>
    <w:rsid w:val="005718FA"/>
    <w:rsid w:val="00583533"/>
    <w:rsid w:val="005A4F3D"/>
    <w:rsid w:val="005B384C"/>
    <w:rsid w:val="005C01B2"/>
    <w:rsid w:val="005C0234"/>
    <w:rsid w:val="005C328A"/>
    <w:rsid w:val="005C3EB6"/>
    <w:rsid w:val="005E2DB8"/>
    <w:rsid w:val="005E310F"/>
    <w:rsid w:val="00601AD1"/>
    <w:rsid w:val="00623FC9"/>
    <w:rsid w:val="00635CCF"/>
    <w:rsid w:val="00635F2C"/>
    <w:rsid w:val="00637148"/>
    <w:rsid w:val="0063760E"/>
    <w:rsid w:val="00641E0D"/>
    <w:rsid w:val="00645B1F"/>
    <w:rsid w:val="0065151B"/>
    <w:rsid w:val="006572FE"/>
    <w:rsid w:val="00662892"/>
    <w:rsid w:val="00667CEB"/>
    <w:rsid w:val="0069794C"/>
    <w:rsid w:val="006A2CE0"/>
    <w:rsid w:val="006A7F74"/>
    <w:rsid w:val="006B0CEC"/>
    <w:rsid w:val="006C2334"/>
    <w:rsid w:val="006C2560"/>
    <w:rsid w:val="006D1C95"/>
    <w:rsid w:val="006D2A12"/>
    <w:rsid w:val="006D4542"/>
    <w:rsid w:val="006D6BE2"/>
    <w:rsid w:val="006D6FFE"/>
    <w:rsid w:val="006F2F9D"/>
    <w:rsid w:val="006F5CF1"/>
    <w:rsid w:val="00700656"/>
    <w:rsid w:val="0071397A"/>
    <w:rsid w:val="007214F9"/>
    <w:rsid w:val="00723825"/>
    <w:rsid w:val="00730AFA"/>
    <w:rsid w:val="00732B7D"/>
    <w:rsid w:val="00736EA9"/>
    <w:rsid w:val="00742021"/>
    <w:rsid w:val="00765881"/>
    <w:rsid w:val="0076613E"/>
    <w:rsid w:val="0077713A"/>
    <w:rsid w:val="007825E6"/>
    <w:rsid w:val="00783759"/>
    <w:rsid w:val="00784D2C"/>
    <w:rsid w:val="00786AA2"/>
    <w:rsid w:val="0079406E"/>
    <w:rsid w:val="00794D90"/>
    <w:rsid w:val="007A2883"/>
    <w:rsid w:val="007A3307"/>
    <w:rsid w:val="007A6041"/>
    <w:rsid w:val="007D23E7"/>
    <w:rsid w:val="007D5C6C"/>
    <w:rsid w:val="007D6346"/>
    <w:rsid w:val="007E025D"/>
    <w:rsid w:val="007E09F6"/>
    <w:rsid w:val="007F4893"/>
    <w:rsid w:val="00802F80"/>
    <w:rsid w:val="00805B1B"/>
    <w:rsid w:val="00814AB1"/>
    <w:rsid w:val="00821D9F"/>
    <w:rsid w:val="00822D92"/>
    <w:rsid w:val="00826271"/>
    <w:rsid w:val="008321DE"/>
    <w:rsid w:val="00836299"/>
    <w:rsid w:val="00845673"/>
    <w:rsid w:val="0085418D"/>
    <w:rsid w:val="00854BC1"/>
    <w:rsid w:val="00855627"/>
    <w:rsid w:val="008566ED"/>
    <w:rsid w:val="00872579"/>
    <w:rsid w:val="0087740A"/>
    <w:rsid w:val="00880C3D"/>
    <w:rsid w:val="00886CBC"/>
    <w:rsid w:val="00886F8D"/>
    <w:rsid w:val="00887480"/>
    <w:rsid w:val="00893FB4"/>
    <w:rsid w:val="00894AC0"/>
    <w:rsid w:val="008968FA"/>
    <w:rsid w:val="008A24C8"/>
    <w:rsid w:val="008A7330"/>
    <w:rsid w:val="008B116C"/>
    <w:rsid w:val="008B4FD1"/>
    <w:rsid w:val="008B5C98"/>
    <w:rsid w:val="008B6CFD"/>
    <w:rsid w:val="008C3127"/>
    <w:rsid w:val="008D1BAF"/>
    <w:rsid w:val="008D2442"/>
    <w:rsid w:val="008E5E6E"/>
    <w:rsid w:val="008F7ED0"/>
    <w:rsid w:val="00912255"/>
    <w:rsid w:val="009122A1"/>
    <w:rsid w:val="00916B71"/>
    <w:rsid w:val="00917000"/>
    <w:rsid w:val="0092197E"/>
    <w:rsid w:val="009233C1"/>
    <w:rsid w:val="009248F2"/>
    <w:rsid w:val="00933786"/>
    <w:rsid w:val="0094254B"/>
    <w:rsid w:val="00943B18"/>
    <w:rsid w:val="00947A9E"/>
    <w:rsid w:val="009627C8"/>
    <w:rsid w:val="00965329"/>
    <w:rsid w:val="00970458"/>
    <w:rsid w:val="00990899"/>
    <w:rsid w:val="00996DB3"/>
    <w:rsid w:val="009A4090"/>
    <w:rsid w:val="009B4BCD"/>
    <w:rsid w:val="009D2EA6"/>
    <w:rsid w:val="009E36A3"/>
    <w:rsid w:val="009E4E03"/>
    <w:rsid w:val="009E567D"/>
    <w:rsid w:val="009F18F2"/>
    <w:rsid w:val="009F3B1C"/>
    <w:rsid w:val="009F795A"/>
    <w:rsid w:val="00A0063C"/>
    <w:rsid w:val="00A00A22"/>
    <w:rsid w:val="00A0468F"/>
    <w:rsid w:val="00A069C8"/>
    <w:rsid w:val="00A141AC"/>
    <w:rsid w:val="00A14E0D"/>
    <w:rsid w:val="00A20C55"/>
    <w:rsid w:val="00A22B33"/>
    <w:rsid w:val="00A34F27"/>
    <w:rsid w:val="00A4516A"/>
    <w:rsid w:val="00A47B3E"/>
    <w:rsid w:val="00A54F98"/>
    <w:rsid w:val="00A56263"/>
    <w:rsid w:val="00A60BD7"/>
    <w:rsid w:val="00A661E7"/>
    <w:rsid w:val="00A72A57"/>
    <w:rsid w:val="00A750CA"/>
    <w:rsid w:val="00A83421"/>
    <w:rsid w:val="00A86078"/>
    <w:rsid w:val="00A864F1"/>
    <w:rsid w:val="00A91CE9"/>
    <w:rsid w:val="00A937D0"/>
    <w:rsid w:val="00A94159"/>
    <w:rsid w:val="00A943BF"/>
    <w:rsid w:val="00A95B98"/>
    <w:rsid w:val="00A97BDA"/>
    <w:rsid w:val="00AB0051"/>
    <w:rsid w:val="00AB14F4"/>
    <w:rsid w:val="00AB58ED"/>
    <w:rsid w:val="00AB6D62"/>
    <w:rsid w:val="00AC1105"/>
    <w:rsid w:val="00AC724E"/>
    <w:rsid w:val="00AD4503"/>
    <w:rsid w:val="00AE56C4"/>
    <w:rsid w:val="00AE59CD"/>
    <w:rsid w:val="00AE74A8"/>
    <w:rsid w:val="00AF06F8"/>
    <w:rsid w:val="00AF5C6C"/>
    <w:rsid w:val="00AF625A"/>
    <w:rsid w:val="00B05BF4"/>
    <w:rsid w:val="00B14E11"/>
    <w:rsid w:val="00B20F37"/>
    <w:rsid w:val="00B3402E"/>
    <w:rsid w:val="00B404E6"/>
    <w:rsid w:val="00B52EF4"/>
    <w:rsid w:val="00B555A2"/>
    <w:rsid w:val="00B62291"/>
    <w:rsid w:val="00B71D74"/>
    <w:rsid w:val="00B74761"/>
    <w:rsid w:val="00B868C1"/>
    <w:rsid w:val="00B9493A"/>
    <w:rsid w:val="00B95374"/>
    <w:rsid w:val="00BA0978"/>
    <w:rsid w:val="00BC05B1"/>
    <w:rsid w:val="00BD0A03"/>
    <w:rsid w:val="00BD2C82"/>
    <w:rsid w:val="00BD54D0"/>
    <w:rsid w:val="00BD7750"/>
    <w:rsid w:val="00BD7D93"/>
    <w:rsid w:val="00BE0AAA"/>
    <w:rsid w:val="00BE0D9C"/>
    <w:rsid w:val="00BE33BC"/>
    <w:rsid w:val="00BE5A89"/>
    <w:rsid w:val="00C014B0"/>
    <w:rsid w:val="00C22691"/>
    <w:rsid w:val="00C234E2"/>
    <w:rsid w:val="00C261D9"/>
    <w:rsid w:val="00C41E8A"/>
    <w:rsid w:val="00C47719"/>
    <w:rsid w:val="00C52289"/>
    <w:rsid w:val="00C739A8"/>
    <w:rsid w:val="00C756CC"/>
    <w:rsid w:val="00C8478C"/>
    <w:rsid w:val="00C923F1"/>
    <w:rsid w:val="00C93A7B"/>
    <w:rsid w:val="00C93BF9"/>
    <w:rsid w:val="00CA007E"/>
    <w:rsid w:val="00CA2280"/>
    <w:rsid w:val="00CB3B95"/>
    <w:rsid w:val="00CC2D46"/>
    <w:rsid w:val="00CC4930"/>
    <w:rsid w:val="00CE1782"/>
    <w:rsid w:val="00CF48A5"/>
    <w:rsid w:val="00D0564A"/>
    <w:rsid w:val="00D0578A"/>
    <w:rsid w:val="00D10C98"/>
    <w:rsid w:val="00D2296D"/>
    <w:rsid w:val="00D236C0"/>
    <w:rsid w:val="00D24AE1"/>
    <w:rsid w:val="00D33F43"/>
    <w:rsid w:val="00D34958"/>
    <w:rsid w:val="00D400FA"/>
    <w:rsid w:val="00D451B2"/>
    <w:rsid w:val="00D57A06"/>
    <w:rsid w:val="00D6128A"/>
    <w:rsid w:val="00D857D4"/>
    <w:rsid w:val="00D95067"/>
    <w:rsid w:val="00DA1FAD"/>
    <w:rsid w:val="00DA3AF1"/>
    <w:rsid w:val="00DB01C8"/>
    <w:rsid w:val="00DC4BC2"/>
    <w:rsid w:val="00DD5B0D"/>
    <w:rsid w:val="00DF21B7"/>
    <w:rsid w:val="00DF6487"/>
    <w:rsid w:val="00E024A3"/>
    <w:rsid w:val="00E1138E"/>
    <w:rsid w:val="00E13652"/>
    <w:rsid w:val="00E16DB9"/>
    <w:rsid w:val="00E21522"/>
    <w:rsid w:val="00E23931"/>
    <w:rsid w:val="00E243FB"/>
    <w:rsid w:val="00E63893"/>
    <w:rsid w:val="00E64272"/>
    <w:rsid w:val="00E6789B"/>
    <w:rsid w:val="00E7326A"/>
    <w:rsid w:val="00E758BA"/>
    <w:rsid w:val="00E8229F"/>
    <w:rsid w:val="00E82D37"/>
    <w:rsid w:val="00E86569"/>
    <w:rsid w:val="00E9734A"/>
    <w:rsid w:val="00EA0FEB"/>
    <w:rsid w:val="00EA25B3"/>
    <w:rsid w:val="00EB5553"/>
    <w:rsid w:val="00EB7F2B"/>
    <w:rsid w:val="00EC1254"/>
    <w:rsid w:val="00ED5772"/>
    <w:rsid w:val="00ED7B0E"/>
    <w:rsid w:val="00EE56ED"/>
    <w:rsid w:val="00EE73EB"/>
    <w:rsid w:val="00F06581"/>
    <w:rsid w:val="00F06894"/>
    <w:rsid w:val="00F07865"/>
    <w:rsid w:val="00F165A8"/>
    <w:rsid w:val="00F16627"/>
    <w:rsid w:val="00F23452"/>
    <w:rsid w:val="00F23FA3"/>
    <w:rsid w:val="00F30D3E"/>
    <w:rsid w:val="00F360E0"/>
    <w:rsid w:val="00F45031"/>
    <w:rsid w:val="00F46500"/>
    <w:rsid w:val="00F62743"/>
    <w:rsid w:val="00F711CB"/>
    <w:rsid w:val="00F71243"/>
    <w:rsid w:val="00F77536"/>
    <w:rsid w:val="00F81DAD"/>
    <w:rsid w:val="00F85B27"/>
    <w:rsid w:val="00FA30FF"/>
    <w:rsid w:val="00FB1EB2"/>
    <w:rsid w:val="00FC6A40"/>
    <w:rsid w:val="00FC7589"/>
    <w:rsid w:val="00FD1C6C"/>
    <w:rsid w:val="00FD510C"/>
    <w:rsid w:val="00FD5ABB"/>
    <w:rsid w:val="00FE437C"/>
    <w:rsid w:val="00FF09D0"/>
    <w:rsid w:val="00FF2304"/>
    <w:rsid w:val="00FF4503"/>
    <w:rsid w:val="00FF7993"/>
    <w:rsid w:val="02FE3AB7"/>
    <w:rsid w:val="04076666"/>
    <w:rsid w:val="04BF8E8E"/>
    <w:rsid w:val="08DAD789"/>
    <w:rsid w:val="0E6CBBF0"/>
    <w:rsid w:val="1946FB43"/>
    <w:rsid w:val="219A758B"/>
    <w:rsid w:val="247679DA"/>
    <w:rsid w:val="2929E00C"/>
    <w:rsid w:val="2D186C2E"/>
    <w:rsid w:val="3002495E"/>
    <w:rsid w:val="3501FC4A"/>
    <w:rsid w:val="35081332"/>
    <w:rsid w:val="38278F6F"/>
    <w:rsid w:val="3E973E17"/>
    <w:rsid w:val="4232BFA1"/>
    <w:rsid w:val="490116F2"/>
    <w:rsid w:val="497CF127"/>
    <w:rsid w:val="4C7BF613"/>
    <w:rsid w:val="567FC8B5"/>
    <w:rsid w:val="5AE03B70"/>
    <w:rsid w:val="5CF914F6"/>
    <w:rsid w:val="629E370A"/>
    <w:rsid w:val="70BBCCE8"/>
    <w:rsid w:val="75E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1AC1"/>
  <w15:chartTrackingRefBased/>
  <w15:docId w15:val="{DB35FB38-6BAA-534E-9224-94AFF3E9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AA0"/>
    <w:rPr>
      <w:rFonts w:ascii="Times New Roman" w:eastAsia="Times New Roman" w:hAnsi="Times New Roman" w:cs="Times New Roman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A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Emphasis">
    <w:name w:val="Emphasis"/>
    <w:basedOn w:val="DefaultParagraphFont"/>
    <w:uiPriority w:val="20"/>
    <w:qFormat/>
    <w:rsid w:val="00736E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36E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3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C5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56"/>
    <w:rPr>
      <w:rFonts w:ascii="Times New Roman" w:eastAsia="Times New Roman" w:hAnsi="Times New Roman" w:cs="Times New Roman"/>
      <w:lang w:eastAsia="es-MX"/>
    </w:rPr>
  </w:style>
  <w:style w:type="paragraph" w:styleId="Footer">
    <w:name w:val="footer"/>
    <w:basedOn w:val="Normal"/>
    <w:link w:val="FooterChar"/>
    <w:uiPriority w:val="99"/>
    <w:unhideWhenUsed/>
    <w:rsid w:val="00476C5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56"/>
    <w:rPr>
      <w:rFonts w:ascii="Times New Roman" w:eastAsia="Times New Roman" w:hAnsi="Times New Roman" w:cs="Times New Roman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782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0517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94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814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334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7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07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9236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4416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20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3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74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96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24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Early+stage+diabetes+risk+prediction+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dc.gov/diabetes/basics/prediabetes.html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994720-20A2-DC48-8F65-36AF5A12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Juan.Jimenez030</dc:creator>
  <cp:keywords/>
  <dc:description/>
  <cp:lastModifiedBy>Jimenez, JuanCarlos</cp:lastModifiedBy>
  <cp:revision>2</cp:revision>
  <dcterms:created xsi:type="dcterms:W3CDTF">2022-03-29T18:45:00Z</dcterms:created>
  <dcterms:modified xsi:type="dcterms:W3CDTF">2022-03-29T18:45:00Z</dcterms:modified>
</cp:coreProperties>
</file>