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HW5: Information Visualization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10/13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you will implement the information visualization scenario for your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Visualization</w:t>
      </w:r>
      <w:r w:rsidDel="00000000" w:rsidR="00000000" w:rsidRPr="00000000">
        <w:rPr>
          <w:rtl w:val="0"/>
        </w:rPr>
        <w:br w:type="textWrapping"/>
        <w:t xml:space="preserve">Implement your scenario that requires information visualization. Pick an existing D3.js visualization, and adapt it to (1) bind to the data for your scenario and (2) depict the visual properties necessary for your scenario. In grading this step, we will assess the extent to which your visualization satisfies the scenario. For instance, in many cases, something slightly more complicated than a simple bar chart will be necessary.  If you determine that the scenario you had originally proposed was too ambitious to complete within the scope of the HW assignment, you are welcome to update the information visualization scenario on your website. But we will still assess the the reasonableness of the scenario in the scope of the time available for a HW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Move third scenario into React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last assignment, you will migrated your presentation logic to React, for your existing 2 scenarios. In this assignment, you will migrate your 3rd scenario to React (if you hadn’t already).  Specifically, at this point, for 3 scenarios total you should use React to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at least three different components (total: across your two scenarios)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least two of these components should be children of other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Update your readme in the Github repo to specify the four scenarios that are now implemented, including a note on which scenario uses D3, and which scenario was just updated to use React.</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Include the Submit your changes to the same Github repository that you and your partner used in past HWs. Create a HW5 pull request from gh-pages into hw-submissions. Merge the pull request. Create a HW5 release from gh-pages.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