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22E" w:rsidRDefault="00A4022E">
      <w:pPr>
        <w:spacing w:after="0" w:line="276" w:lineRule="auto"/>
        <w:rPr>
          <w:rFonts w:ascii="Proxima Nova" w:eastAsia="Proxima Nova" w:hAnsi="Proxima Nova" w:cs="Proxima Nova"/>
          <w:color w:val="000000"/>
        </w:rPr>
      </w:pPr>
      <w:bookmarkStart w:id="0" w:name="_htqmprrgysrp" w:colFirst="0" w:colLast="0"/>
      <w:bookmarkStart w:id="1" w:name="_ahovzsdcd9pf" w:colFirst="0" w:colLast="0"/>
      <w:bookmarkEnd w:id="0"/>
      <w:bookmarkEnd w:id="1"/>
    </w:p>
    <w:p w:rsidR="00E13E0E" w:rsidRDefault="00E13E0E" w:rsidP="00E13E0E">
      <w:bookmarkStart w:id="2" w:name="_dpu6aookve3k" w:colFirst="0" w:colLast="0"/>
      <w:bookmarkEnd w:id="2"/>
      <w:r>
        <w:t xml:space="preserve">The MemSQL </w:t>
      </w:r>
      <w:r>
        <w:rPr>
          <w:i/>
        </w:rPr>
        <w:t>monitored</w:t>
      </w:r>
      <w:r>
        <w:t xml:space="preserve"> cluster pushes event data to the MemSQL </w:t>
      </w:r>
      <w:r>
        <w:rPr>
          <w:i/>
        </w:rPr>
        <w:t>collecting</w:t>
      </w:r>
      <w:r>
        <w:t xml:space="preserve"> cluster where it collected and stored. When these event data are then analyzed through the associated dashboards, trends can be spotted and, if necessary, remediated.</w:t>
      </w:r>
    </w:p>
    <w:p w:rsidR="00304C5F" w:rsidRDefault="00304C5F" w:rsidP="00E13E0E"/>
    <w:p w:rsidR="00304C5F" w:rsidRDefault="00304C5F" w:rsidP="00E13E0E"/>
    <w:p w:rsidR="00E13E0E" w:rsidRDefault="00E13E0E" w:rsidP="00E13E0E">
      <w:r>
        <w:rPr>
          <w:noProof/>
          <w:lang w:val="en-US"/>
        </w:rPr>
        <w:drawing>
          <wp:inline distT="114300" distB="114300" distL="114300" distR="114300">
            <wp:extent cx="5943600" cy="30226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3E0E" w:rsidRDefault="00E13E0E" w:rsidP="00E13E0E">
      <w:r>
        <w:t>Provided dashboards include:</w:t>
      </w:r>
    </w:p>
    <w:p w:rsidR="00E13E0E" w:rsidRDefault="00E13E0E" w:rsidP="00E13E0E">
      <w:pPr>
        <w:numPr>
          <w:ilvl w:val="0"/>
          <w:numId w:val="6"/>
        </w:numPr>
        <w:spacing w:after="0" w:line="276" w:lineRule="auto"/>
      </w:pPr>
      <w:r>
        <w:t>A detailed cluster view, akin to a “birds-eye view” of a single cluster</w:t>
      </w:r>
    </w:p>
    <w:p w:rsidR="00E13E0E" w:rsidRDefault="00E13E0E" w:rsidP="00E13E0E">
      <w:pPr>
        <w:numPr>
          <w:ilvl w:val="0"/>
          <w:numId w:val="6"/>
        </w:numPr>
        <w:spacing w:after="0" w:line="276" w:lineRule="auto"/>
      </w:pPr>
      <w:r>
        <w:t>Granular breakdown of memory usage for a host</w:t>
      </w:r>
    </w:p>
    <w:p w:rsidR="00E13E0E" w:rsidRDefault="00E13E0E" w:rsidP="00E13E0E">
      <w:pPr>
        <w:numPr>
          <w:ilvl w:val="0"/>
          <w:numId w:val="6"/>
        </w:numPr>
        <w:spacing w:after="0" w:line="276" w:lineRule="auto"/>
      </w:pPr>
      <w:r>
        <w:t>Active session history, including aggregated resource consumption by activity and activity type</w:t>
      </w:r>
    </w:p>
    <w:p w:rsidR="00E13E0E" w:rsidRDefault="00E13E0E" w:rsidP="00E13E0E">
      <w:pPr>
        <w:numPr>
          <w:ilvl w:val="0"/>
          <w:numId w:val="6"/>
        </w:numPr>
        <w:spacing w:after="0" w:line="276" w:lineRule="auto"/>
      </w:pPr>
      <w:r>
        <w:t>Activity history, including historical resource consumption by a specific activity</w:t>
      </w:r>
    </w:p>
    <w:p w:rsidR="00E13E0E" w:rsidRDefault="00E13E0E" w:rsidP="00E13E0E">
      <w:pPr>
        <w:numPr>
          <w:ilvl w:val="0"/>
          <w:numId w:val="6"/>
        </w:numPr>
        <w:spacing w:after="0" w:line="276" w:lineRule="auto"/>
      </w:pPr>
      <w:r>
        <w:t>MemSQL status and variables view, with collected status variables from each host in the cluster</w:t>
      </w:r>
    </w:p>
    <w:p w:rsidR="00E13E0E" w:rsidRDefault="00E13E0E" w:rsidP="00E13E0E">
      <w:pPr>
        <w:numPr>
          <w:ilvl w:val="0"/>
          <w:numId w:val="6"/>
        </w:numPr>
        <w:spacing w:after="0" w:line="276" w:lineRule="auto"/>
      </w:pPr>
      <w:r>
        <w:t>Node breakout with system metrics from each host in the cluster</w:t>
      </w:r>
    </w:p>
    <w:p w:rsidR="00E13E0E" w:rsidRDefault="00E13E0E" w:rsidP="00E13E0E"/>
    <w:p w:rsidR="00E13E0E" w:rsidRDefault="00E13E0E" w:rsidP="00E13E0E">
      <w:pPr>
        <w:pStyle w:val="Heading2"/>
      </w:pPr>
      <w:bookmarkStart w:id="3" w:name="_Toc21591659"/>
      <w:r>
        <w:t>Prerequisites</w:t>
      </w:r>
      <w:bookmarkEnd w:id="3"/>
    </w:p>
    <w:p w:rsidR="00E13E0E" w:rsidRDefault="00E13E0E" w:rsidP="00E13E0E">
      <w:pPr>
        <w:numPr>
          <w:ilvl w:val="0"/>
          <w:numId w:val="8"/>
        </w:numPr>
        <w:spacing w:after="0" w:line="276" w:lineRule="auto"/>
      </w:pPr>
      <w:r>
        <w:t xml:space="preserve">A MemSQL cluster to monitor (the </w:t>
      </w:r>
      <w:r>
        <w:rPr>
          <w:i/>
        </w:rPr>
        <w:t>monitored</w:t>
      </w:r>
      <w:r>
        <w:t xml:space="preserve"> cluster)</w:t>
      </w:r>
    </w:p>
    <w:p w:rsidR="00E13E0E" w:rsidRDefault="00E13E0E" w:rsidP="00E13E0E">
      <w:pPr>
        <w:spacing w:after="0" w:line="276" w:lineRule="auto"/>
        <w:ind w:left="720"/>
      </w:pPr>
    </w:p>
    <w:p w:rsidR="00E13E0E" w:rsidRDefault="00E13E0E" w:rsidP="00E13E0E">
      <w:pPr>
        <w:numPr>
          <w:ilvl w:val="0"/>
          <w:numId w:val="8"/>
        </w:numPr>
        <w:spacing w:after="0" w:line="276" w:lineRule="auto"/>
      </w:pPr>
      <w:r>
        <w:lastRenderedPageBreak/>
        <w:t xml:space="preserve">A MemSQL to </w:t>
      </w:r>
      <w:r w:rsidR="00304C5F">
        <w:t>store</w:t>
      </w:r>
      <w:r>
        <w:t xml:space="preserve"> monitoring data (the </w:t>
      </w:r>
      <w:r>
        <w:rPr>
          <w:i/>
        </w:rPr>
        <w:t>collecting</w:t>
      </w:r>
      <w:r>
        <w:t xml:space="preserve"> cluster)</w:t>
      </w:r>
    </w:p>
    <w:p w:rsidR="00E13E0E" w:rsidRDefault="00E13E0E" w:rsidP="00E13E0E">
      <w:pPr>
        <w:ind w:left="720"/>
      </w:pPr>
      <w:r>
        <w:rPr>
          <w:b/>
        </w:rPr>
        <w:t>Note</w:t>
      </w:r>
      <w:r>
        <w:t>: This can be the same cluster as the monitored cluster</w:t>
      </w:r>
    </w:p>
    <w:p w:rsidR="00E13E0E" w:rsidRDefault="00E13E0E" w:rsidP="00E13E0E">
      <w:pPr>
        <w:numPr>
          <w:ilvl w:val="0"/>
          <w:numId w:val="8"/>
        </w:numPr>
        <w:spacing w:after="0" w:line="276" w:lineRule="auto"/>
      </w:pPr>
      <w:r>
        <w:t>A Kafka cluster with:</w:t>
      </w:r>
    </w:p>
    <w:p w:rsidR="00E13E0E" w:rsidRDefault="00E13E0E" w:rsidP="00E13E0E">
      <w:pPr>
        <w:numPr>
          <w:ilvl w:val="1"/>
          <w:numId w:val="8"/>
        </w:numPr>
        <w:spacing w:after="0" w:line="276" w:lineRule="auto"/>
      </w:pPr>
      <w:r>
        <w:t xml:space="preserve">The ability to create two new </w:t>
      </w:r>
      <w:hyperlink r:id="rId8" w:anchor="basic_ops_add_topic">
        <w:r>
          <w:rPr>
            <w:color w:val="1155CC"/>
            <w:u w:val="single"/>
          </w:rPr>
          <w:t>topics</w:t>
        </w:r>
      </w:hyperlink>
    </w:p>
    <w:p w:rsidR="00E13E0E" w:rsidRDefault="00E13E0E" w:rsidP="00E13E0E">
      <w:pPr>
        <w:numPr>
          <w:ilvl w:val="1"/>
          <w:numId w:val="8"/>
        </w:numPr>
        <w:spacing w:after="0" w:line="276" w:lineRule="auto"/>
      </w:pPr>
      <w:r>
        <w:t>Brokers configured so that they are accessible by both the monitored and collecting clusters</w:t>
      </w:r>
    </w:p>
    <w:p w:rsidR="00E13E0E" w:rsidRDefault="00E13E0E" w:rsidP="00E13E0E">
      <w:pPr>
        <w:spacing w:after="0" w:line="276" w:lineRule="auto"/>
        <w:ind w:left="1440"/>
      </w:pPr>
    </w:p>
    <w:p w:rsidR="00E13E0E" w:rsidRDefault="00E13E0E" w:rsidP="00E13E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t>Grafana installed and running, and the collecting cluster is accessible to it.</w:t>
      </w:r>
    </w:p>
    <w:p w:rsidR="00E13E0E" w:rsidRPr="00E13E0E" w:rsidRDefault="00E13E0E" w:rsidP="00E13E0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</w:p>
    <w:p w:rsidR="00E13E0E" w:rsidRDefault="00E13E0E" w:rsidP="00E13E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The </w:t>
      </w:r>
      <w:hyperlink r:id="rId9">
        <w:r>
          <w:rPr>
            <w:color w:val="1155CC"/>
            <w:u w:val="single"/>
          </w:rPr>
          <w:t>provided Grafana dashboard JSON layout files</w:t>
        </w:r>
      </w:hyperlink>
      <w:r>
        <w:t>.</w:t>
      </w:r>
    </w:p>
    <w:p w:rsidR="00E13E0E" w:rsidRDefault="00E13E0E" w:rsidP="00E13E0E">
      <w:pPr>
        <w:pStyle w:val="Heading2"/>
      </w:pPr>
      <w:bookmarkStart w:id="4" w:name="_Toc21591660"/>
      <w:r>
        <w:t>Port Configuration</w:t>
      </w:r>
      <w:bookmarkEnd w:id="4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E13E0E" w:rsidTr="006A05FE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E0E" w:rsidRDefault="00E13E0E" w:rsidP="006A0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Default Port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E0E" w:rsidRDefault="00E13E0E" w:rsidP="006A0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Used by</w:t>
            </w:r>
          </w:p>
        </w:tc>
      </w:tr>
      <w:tr w:rsidR="00E13E0E" w:rsidTr="006A05F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E0E" w:rsidRDefault="00E13E0E" w:rsidP="006A0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E0E" w:rsidRDefault="00E13E0E" w:rsidP="006A0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Grafana</w:t>
            </w:r>
          </w:p>
        </w:tc>
      </w:tr>
      <w:tr w:rsidR="00E13E0E" w:rsidTr="006A05F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E0E" w:rsidRDefault="00E13E0E" w:rsidP="006A0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3306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E0E" w:rsidRDefault="00E13E0E" w:rsidP="006A0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MemSQL</w:t>
            </w:r>
          </w:p>
        </w:tc>
      </w:tr>
      <w:tr w:rsidR="00E13E0E" w:rsidTr="006A05F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E0E" w:rsidRDefault="00E13E0E" w:rsidP="006A0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8080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E0E" w:rsidRDefault="00E13E0E" w:rsidP="006A0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MemSQL Studio</w:t>
            </w:r>
          </w:p>
        </w:tc>
      </w:tr>
      <w:tr w:rsidR="00E13E0E" w:rsidTr="006A05F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E0E" w:rsidRDefault="00E13E0E" w:rsidP="006A0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9092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E0E" w:rsidRDefault="00E13E0E" w:rsidP="006A0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Kafka</w:t>
            </w:r>
          </w:p>
        </w:tc>
      </w:tr>
      <w:tr w:rsidR="00E13E0E" w:rsidTr="006A05F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E0E" w:rsidRDefault="00E13E0E" w:rsidP="006A0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9104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E0E" w:rsidRDefault="00E13E0E" w:rsidP="006A0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memsql_exporter</w:t>
            </w:r>
          </w:p>
        </w:tc>
      </w:tr>
    </w:tbl>
    <w:p w:rsidR="00E13E0E" w:rsidRDefault="00E13E0E" w:rsidP="00E13E0E">
      <w:pPr>
        <w:pStyle w:val="Heading1"/>
      </w:pPr>
      <w:bookmarkStart w:id="5" w:name="_Toc21591661"/>
      <w:r>
        <w:t>Configure Components</w:t>
      </w:r>
      <w:bookmarkEnd w:id="5"/>
    </w:p>
    <w:p w:rsidR="00E13E0E" w:rsidRDefault="00E13E0E" w:rsidP="00E13E0E">
      <w:pPr>
        <w:pStyle w:val="Heading2"/>
      </w:pPr>
      <w:bookmarkStart w:id="6" w:name="_Toc21591662"/>
      <w:r>
        <w:t>MemSQL Exporter</w:t>
      </w:r>
      <w:bookmarkEnd w:id="6"/>
    </w:p>
    <w:p w:rsidR="00E13E0E" w:rsidRDefault="00E13E0E" w:rsidP="00E13E0E">
      <w:r>
        <w:t>MemSQL Exporter (</w:t>
      </w:r>
      <w:r>
        <w:rPr>
          <w:rFonts w:ascii="Courier New" w:eastAsia="Courier New" w:hAnsi="Courier New" w:cs="Courier New"/>
        </w:rPr>
        <w:t>memsql_exporter</w:t>
      </w:r>
      <w:r>
        <w:t>) is a satellite process that collects data about a running cluster and funnels it to either a MemSQL Pusher (</w:t>
      </w:r>
      <w:r>
        <w:rPr>
          <w:rFonts w:ascii="Courier New" w:eastAsia="Courier New" w:hAnsi="Courier New" w:cs="Courier New"/>
        </w:rPr>
        <w:t>memsql_pusher</w:t>
      </w:r>
      <w:r>
        <w:t xml:space="preserve">) or a Prometheus process which pulls from the Exporter and sends it to a Kafka queue. </w:t>
      </w:r>
    </w:p>
    <w:p w:rsidR="00E13E0E" w:rsidRDefault="00E13E0E" w:rsidP="00E13E0E">
      <w:pPr>
        <w:pStyle w:val="Heading2"/>
      </w:pPr>
      <w:bookmarkStart w:id="7" w:name="_Toc21591663"/>
      <w:r>
        <w:lastRenderedPageBreak/>
        <w:t>MemSQL Pusher</w:t>
      </w:r>
      <w:bookmarkEnd w:id="7"/>
    </w:p>
    <w:p w:rsidR="00E13E0E" w:rsidRDefault="00E13E0E" w:rsidP="00E13E0E">
      <w:r>
        <w:t>MemSQL Pusher (</w:t>
      </w:r>
      <w:r>
        <w:rPr>
          <w:rFonts w:ascii="Courier New" w:eastAsia="Courier New" w:hAnsi="Courier New" w:cs="Courier New"/>
        </w:rPr>
        <w:t>memsql_pusher</w:t>
      </w:r>
      <w:r>
        <w:t xml:space="preserve">) is a satellite process that takes input from one or more exporters (e.g. </w:t>
      </w:r>
      <w:r>
        <w:rPr>
          <w:rFonts w:ascii="Courier New" w:eastAsia="Courier New" w:hAnsi="Courier New" w:cs="Courier New"/>
        </w:rPr>
        <w:t>memsql_exporter</w:t>
      </w:r>
      <w:r>
        <w:t xml:space="preserve">, or other Prometheus ecosystem tools) processes and sends the collected data to the </w:t>
      </w:r>
      <w:r>
        <w:rPr>
          <w:rFonts w:ascii="Courier New" w:eastAsia="Courier New" w:hAnsi="Courier New" w:cs="Courier New"/>
        </w:rPr>
        <w:t>&lt;org&gt;_metrics</w:t>
      </w:r>
      <w:r>
        <w:t xml:space="preserve"> and </w:t>
      </w:r>
      <w:r>
        <w:rPr>
          <w:rFonts w:ascii="Courier New" w:eastAsia="Courier New" w:hAnsi="Courier New" w:cs="Courier New"/>
        </w:rPr>
        <w:t xml:space="preserve">&lt;org&gt;_blobs </w:t>
      </w:r>
      <w:r>
        <w:t>Kafka topics.</w:t>
      </w:r>
    </w:p>
    <w:p w:rsidR="00E13E0E" w:rsidRDefault="00E13E0E" w:rsidP="00E13E0E">
      <w:pPr>
        <w:ind w:left="1440"/>
        <w:rPr>
          <w:rFonts w:ascii="Courier New" w:eastAsia="Courier New" w:hAnsi="Courier New" w:cs="Courier New"/>
          <w:color w:val="1D1C1D"/>
          <w:shd w:val="clear" w:color="auto" w:fill="F8F8F8"/>
        </w:rPr>
      </w:pPr>
    </w:p>
    <w:p w:rsidR="00E13E0E" w:rsidRDefault="00E13E0E" w:rsidP="00E13E0E">
      <w:pPr>
        <w:pStyle w:val="Heading2"/>
      </w:pPr>
      <w:bookmarkStart w:id="8" w:name="_Toc21591664"/>
      <w:r>
        <w:t>Kafka</w:t>
      </w:r>
      <w:bookmarkEnd w:id="8"/>
    </w:p>
    <w:p w:rsidR="00E13E0E" w:rsidRDefault="00E13E0E" w:rsidP="00E13E0E">
      <w:pPr>
        <w:numPr>
          <w:ilvl w:val="0"/>
          <w:numId w:val="2"/>
        </w:numPr>
        <w:spacing w:after="0" w:line="276" w:lineRule="auto"/>
      </w:pPr>
      <w:r>
        <w:t xml:space="preserve">Create two new Kafka topics.  Note the </w:t>
      </w:r>
      <w:r>
        <w:rPr>
          <w:rFonts w:ascii="Courier New" w:eastAsia="Courier New" w:hAnsi="Courier New" w:cs="Courier New"/>
        </w:rPr>
        <w:t>&lt;org&gt;_</w:t>
      </w:r>
      <w:r>
        <w:t xml:space="preserve"> prefix on each one.</w:t>
      </w:r>
    </w:p>
    <w:p w:rsidR="00E13E0E" w:rsidRDefault="00E13E0E" w:rsidP="00E13E0E">
      <w:pPr>
        <w:numPr>
          <w:ilvl w:val="1"/>
          <w:numId w:val="2"/>
        </w:numPr>
        <w:spacing w:after="0" w:line="276" w:lineRule="auto"/>
      </w:pPr>
      <w:r>
        <w:rPr>
          <w:rFonts w:ascii="Courier New" w:eastAsia="Courier New" w:hAnsi="Courier New" w:cs="Courier New"/>
        </w:rPr>
        <w:t>&lt;org&gt;_metrics</w:t>
      </w:r>
    </w:p>
    <w:p w:rsidR="00E13E0E" w:rsidRDefault="00E13E0E" w:rsidP="009F1A24">
      <w:pPr>
        <w:numPr>
          <w:ilvl w:val="1"/>
          <w:numId w:val="2"/>
        </w:numPr>
        <w:spacing w:after="0" w:line="276" w:lineRule="auto"/>
      </w:pPr>
      <w:r>
        <w:rPr>
          <w:rFonts w:ascii="Courier New" w:eastAsia="Courier New" w:hAnsi="Courier New" w:cs="Courier New"/>
        </w:rPr>
        <w:t>&lt;org&gt;_blobs</w:t>
      </w:r>
    </w:p>
    <w:p w:rsidR="009F1A24" w:rsidRDefault="009F1A24" w:rsidP="009F1A24">
      <w:pPr>
        <w:spacing w:after="0" w:line="276" w:lineRule="auto"/>
        <w:ind w:left="1440"/>
      </w:pPr>
    </w:p>
    <w:p w:rsidR="00E13E0E" w:rsidRDefault="00E13E0E" w:rsidP="00E13E0E">
      <w:pPr>
        <w:numPr>
          <w:ilvl w:val="0"/>
          <w:numId w:val="2"/>
        </w:numPr>
        <w:spacing w:after="0" w:line="276" w:lineRule="auto"/>
      </w:pPr>
      <w:r>
        <w:rPr>
          <w:b/>
        </w:rPr>
        <w:t>Optional</w:t>
      </w:r>
      <w:r>
        <w:t>: Enable security for both of these topics.</w:t>
      </w:r>
    </w:p>
    <w:p w:rsidR="00E13E0E" w:rsidRDefault="00E13E0E" w:rsidP="00E13E0E">
      <w:pPr>
        <w:numPr>
          <w:ilvl w:val="1"/>
          <w:numId w:val="2"/>
        </w:numPr>
        <w:spacing w:after="0" w:line="276" w:lineRule="auto"/>
      </w:pPr>
      <w:r>
        <w:t>SASL for username and password</w:t>
      </w:r>
    </w:p>
    <w:p w:rsidR="00E13E0E" w:rsidRDefault="00E13E0E" w:rsidP="009F1A24">
      <w:pPr>
        <w:numPr>
          <w:ilvl w:val="1"/>
          <w:numId w:val="2"/>
        </w:numPr>
        <w:spacing w:after="0" w:line="276" w:lineRule="auto"/>
      </w:pPr>
      <w:r>
        <w:t>SSL for wire encryption</w:t>
      </w:r>
    </w:p>
    <w:p w:rsidR="009F1A24" w:rsidRDefault="009F1A24" w:rsidP="009F1A24">
      <w:pPr>
        <w:spacing w:after="0" w:line="276" w:lineRule="auto"/>
        <w:ind w:left="1440"/>
      </w:pPr>
    </w:p>
    <w:p w:rsidR="00E13E0E" w:rsidRDefault="00E13E0E" w:rsidP="00E13E0E">
      <w:pPr>
        <w:numPr>
          <w:ilvl w:val="0"/>
          <w:numId w:val="2"/>
        </w:numPr>
        <w:spacing w:after="0" w:line="276" w:lineRule="auto"/>
      </w:pPr>
      <w:r>
        <w:t>Confirm that the Kafka broker be accessed from the collecting Master Aggregator.</w:t>
      </w:r>
    </w:p>
    <w:p w:rsidR="00E13E0E" w:rsidRDefault="00E13E0E" w:rsidP="00E13E0E">
      <w:pPr>
        <w:ind w:left="720"/>
      </w:pPr>
      <w:r>
        <w:rPr>
          <w:b/>
        </w:rPr>
        <w:t>Note</w:t>
      </w:r>
      <w:r>
        <w:t>: Potential sources of issues can include:</w:t>
      </w:r>
    </w:p>
    <w:p w:rsidR="00E13E0E" w:rsidRDefault="00E13E0E" w:rsidP="00E13E0E">
      <w:pPr>
        <w:numPr>
          <w:ilvl w:val="1"/>
          <w:numId w:val="2"/>
        </w:numPr>
        <w:spacing w:after="0" w:line="276" w:lineRule="auto"/>
      </w:pPr>
      <w:r>
        <w:t xml:space="preserve">Improperly defined AWS security groups </w:t>
      </w:r>
    </w:p>
    <w:p w:rsidR="00E13E0E" w:rsidRDefault="00E13E0E" w:rsidP="009F1A24">
      <w:pPr>
        <w:numPr>
          <w:ilvl w:val="1"/>
          <w:numId w:val="2"/>
        </w:numPr>
        <w:spacing w:after="0" w:line="276" w:lineRule="auto"/>
      </w:pPr>
      <w:r>
        <w:t>Improperly defined iptables</w:t>
      </w:r>
    </w:p>
    <w:p w:rsidR="009F1A24" w:rsidRDefault="00E13E0E" w:rsidP="009F1A24">
      <w:pPr>
        <w:numPr>
          <w:ilvl w:val="0"/>
          <w:numId w:val="2"/>
        </w:numPr>
        <w:spacing w:after="0" w:line="276" w:lineRule="auto"/>
      </w:pPr>
      <w:r>
        <w:t>Confirm that all Kafka brokers are accessible from all hosts in the monitored</w:t>
      </w:r>
      <w:r>
        <w:rPr>
          <w:i/>
        </w:rPr>
        <w:t xml:space="preserve"> </w:t>
      </w:r>
      <w:r>
        <w:t xml:space="preserve">MemSQL cluster. </w:t>
      </w:r>
    </w:p>
    <w:p w:rsidR="009F1A24" w:rsidRDefault="009F1A24" w:rsidP="009F1A24">
      <w:pPr>
        <w:spacing w:after="0" w:line="276" w:lineRule="auto"/>
        <w:ind w:left="720"/>
      </w:pPr>
    </w:p>
    <w:p w:rsidR="009F1A24" w:rsidRPr="009F1A24" w:rsidRDefault="00E13E0E" w:rsidP="009F1A24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telnet &lt;broker ip&gt; &lt;kafka broker port&gt;</w:t>
      </w:r>
    </w:p>
    <w:p w:rsidR="00E13E0E" w:rsidRDefault="00E13E0E" w:rsidP="00E13E0E"/>
    <w:p w:rsidR="00E13E0E" w:rsidRDefault="00E13E0E" w:rsidP="00E13E0E">
      <w:pPr>
        <w:pStyle w:val="Heading1"/>
      </w:pPr>
      <w:bookmarkStart w:id="9" w:name="_Toc21591665"/>
      <w:r>
        <w:t>Monitor the MemSQL Cluster</w:t>
      </w:r>
      <w:bookmarkEnd w:id="9"/>
    </w:p>
    <w:p w:rsidR="00E13E0E" w:rsidRDefault="00E13E0E" w:rsidP="00E13E0E">
      <w:r>
        <w:t xml:space="preserve">A MemSQL database is required to capture the metric data exposed by </w:t>
      </w:r>
      <w:r>
        <w:rPr>
          <w:rFonts w:ascii="Courier New" w:eastAsia="Courier New" w:hAnsi="Courier New" w:cs="Courier New"/>
        </w:rPr>
        <w:t>memsql_exporter</w:t>
      </w:r>
      <w:r>
        <w:t>. The collecting MemSQL cluster can be the same as, or separate from, the monitored</w:t>
      </w:r>
      <w:r>
        <w:rPr>
          <w:i/>
        </w:rPr>
        <w:t xml:space="preserve"> </w:t>
      </w:r>
      <w:r>
        <w:t>MemSQL cluster.</w:t>
      </w:r>
    </w:p>
    <w:p w:rsidR="00E13E0E" w:rsidRDefault="00E13E0E" w:rsidP="009F1A24">
      <w:pPr>
        <w:pStyle w:val="Heading2"/>
      </w:pPr>
      <w:bookmarkStart w:id="10" w:name="_Toc21591666"/>
      <w:r>
        <w:lastRenderedPageBreak/>
        <w:t>Configure the Collecting Database</w:t>
      </w:r>
      <w:bookmarkEnd w:id="10"/>
    </w:p>
    <w:p w:rsidR="00E13E0E" w:rsidRDefault="00E13E0E" w:rsidP="00E13E0E">
      <w:r>
        <w:t xml:space="preserve">On the </w:t>
      </w:r>
      <w:r>
        <w:rPr>
          <w:i/>
        </w:rPr>
        <w:t xml:space="preserve">collecting </w:t>
      </w:r>
      <w:r>
        <w:rPr>
          <w:b/>
        </w:rPr>
        <w:t>Master Aggregator</w:t>
      </w:r>
      <w:r>
        <w:t>:</w:t>
      </w:r>
    </w:p>
    <w:p w:rsidR="00E13E0E" w:rsidRDefault="00E13E0E" w:rsidP="00E13E0E">
      <w:pPr>
        <w:numPr>
          <w:ilvl w:val="0"/>
          <w:numId w:val="7"/>
        </w:numPr>
        <w:spacing w:after="0" w:line="276" w:lineRule="auto"/>
      </w:pPr>
      <w:r>
        <w:t xml:space="preserve">Run </w:t>
      </w:r>
      <w:r>
        <w:rPr>
          <w:rFonts w:ascii="Courier New" w:eastAsia="Courier New" w:hAnsi="Courier New" w:cs="Courier New"/>
        </w:rPr>
        <w:t>monitoring.sql</w:t>
      </w:r>
      <w:r>
        <w:t xml:space="preserve"> to create a </w:t>
      </w:r>
      <w:r>
        <w:rPr>
          <w:rFonts w:ascii="Courier New" w:eastAsia="Courier New" w:hAnsi="Courier New" w:cs="Courier New"/>
        </w:rPr>
        <w:t>monitoring</w:t>
      </w:r>
      <w:r>
        <w:t xml:space="preserve"> database and associated tables</w:t>
      </w:r>
    </w:p>
    <w:p w:rsidR="00E13E0E" w:rsidRDefault="00CA4EC7" w:rsidP="009F1A24">
      <w:pPr>
        <w:numPr>
          <w:ilvl w:val="1"/>
          <w:numId w:val="7"/>
        </w:numPr>
        <w:spacing w:after="0" w:line="276" w:lineRule="auto"/>
      </w:pPr>
      <w:hyperlink r:id="rId10">
        <w:r w:rsidR="00E13E0E">
          <w:rPr>
            <w:color w:val="1155CC"/>
            <w:u w:val="single"/>
          </w:rPr>
          <w:t>monitoring.sql</w:t>
        </w:r>
      </w:hyperlink>
    </w:p>
    <w:p w:rsidR="009F1A24" w:rsidRDefault="009F1A24" w:rsidP="009F1A24">
      <w:pPr>
        <w:spacing w:after="0" w:line="276" w:lineRule="auto"/>
        <w:ind w:left="1440"/>
      </w:pPr>
    </w:p>
    <w:p w:rsidR="00E13E0E" w:rsidRDefault="00E13E0E" w:rsidP="009F1A24">
      <w:pPr>
        <w:numPr>
          <w:ilvl w:val="0"/>
          <w:numId w:val="7"/>
        </w:numPr>
        <w:spacing w:after="0" w:line="276" w:lineRule="auto"/>
      </w:pPr>
      <w:r>
        <w:t>Create a metrics and blobs pipeline using the correct Kafka broker address and security credentials.</w:t>
      </w:r>
    </w:p>
    <w:p w:rsidR="009F1A24" w:rsidRDefault="009F1A24" w:rsidP="009F1A24">
      <w:pPr>
        <w:spacing w:after="0" w:line="276" w:lineRule="auto"/>
        <w:ind w:left="720"/>
      </w:pPr>
    </w:p>
    <w:p w:rsidR="009F1A24" w:rsidRDefault="00E13E0E" w:rsidP="009F1A24">
      <w:pPr>
        <w:ind w:left="720"/>
      </w:pPr>
      <w:r>
        <w:t>*NOTE* the topic names includes the organization name.  This will need to match the organization name</w:t>
      </w:r>
    </w:p>
    <w:p w:rsidR="009F1A24" w:rsidRDefault="009F1A24" w:rsidP="009F1A24">
      <w:pPr>
        <w:pStyle w:val="Heading2"/>
      </w:pPr>
    </w:p>
    <w:p w:rsidR="00E13E0E" w:rsidRDefault="00E13E0E" w:rsidP="009F1A24">
      <w:pPr>
        <w:pStyle w:val="Heading2"/>
      </w:pPr>
      <w:bookmarkStart w:id="11" w:name="_Toc21591667"/>
      <w:r>
        <w:t>Configure Grafan</w:t>
      </w:r>
      <w:r w:rsidR="009F1A24">
        <w:t>a</w:t>
      </w:r>
      <w:bookmarkEnd w:id="11"/>
    </w:p>
    <w:p w:rsidR="00E13E0E" w:rsidRDefault="00E13E0E" w:rsidP="00E13E0E">
      <w:r>
        <w:t xml:space="preserve">Create a </w:t>
      </w:r>
      <w:r>
        <w:rPr>
          <w:rFonts w:ascii="Courier New" w:eastAsia="Courier New" w:hAnsi="Courier New" w:cs="Courier New"/>
        </w:rPr>
        <w:t>monitoring</w:t>
      </w:r>
      <w:r>
        <w:t xml:space="preserve"> datasource. This requires both admin privileges and SELECT and EXECUTE grants to the </w:t>
      </w:r>
      <w:r>
        <w:rPr>
          <w:rFonts w:ascii="Courier New" w:eastAsia="Courier New" w:hAnsi="Courier New" w:cs="Courier New"/>
        </w:rPr>
        <w:t>monitoring</w:t>
      </w:r>
      <w:r>
        <w:t xml:space="preserve"> database as per: </w:t>
      </w:r>
      <w:hyperlink r:id="rId11">
        <w:r>
          <w:rPr>
            <w:color w:val="1155CC"/>
            <w:u w:val="single"/>
          </w:rPr>
          <w:t>https://docs.memsql.com/sql-reference/v6.8/grant/</w:t>
        </w:r>
      </w:hyperlink>
    </w:p>
    <w:p w:rsidR="00E13E0E" w:rsidRDefault="00E13E0E" w:rsidP="00E13E0E">
      <w:pPr>
        <w:ind w:left="720"/>
      </w:pPr>
    </w:p>
    <w:p w:rsidR="00E13E0E" w:rsidRDefault="00E13E0E" w:rsidP="009F1A24">
      <w:pPr>
        <w:numPr>
          <w:ilvl w:val="0"/>
          <w:numId w:val="3"/>
        </w:numPr>
        <w:spacing w:after="0" w:line="276" w:lineRule="auto"/>
      </w:pPr>
      <w:r>
        <w:t xml:space="preserve">Review the </w:t>
      </w:r>
      <w:hyperlink r:id="rId12" w:anchor="how-to-add-a-data-source">
        <w:r>
          <w:rPr>
            <w:color w:val="1155CC"/>
            <w:u w:val="single"/>
          </w:rPr>
          <w:t>guide on how to use the Grafana UI</w:t>
        </w:r>
      </w:hyperlink>
      <w:r>
        <w:t>.</w:t>
      </w:r>
    </w:p>
    <w:p w:rsidR="009F1A24" w:rsidRDefault="009F1A24" w:rsidP="009F1A24">
      <w:pPr>
        <w:spacing w:after="0" w:line="276" w:lineRule="auto"/>
        <w:ind w:left="720"/>
      </w:pPr>
    </w:p>
    <w:p w:rsidR="009F1A24" w:rsidRDefault="00E13E0E" w:rsidP="00821153">
      <w:pPr>
        <w:numPr>
          <w:ilvl w:val="0"/>
          <w:numId w:val="3"/>
        </w:numPr>
        <w:spacing w:after="0" w:line="276" w:lineRule="auto"/>
      </w:pPr>
      <w:r>
        <w:t>Configure the</w:t>
      </w:r>
      <w:r>
        <w:rPr>
          <w:rFonts w:ascii="Courier New" w:eastAsia="Courier New" w:hAnsi="Courier New" w:cs="Courier New"/>
        </w:rPr>
        <w:t xml:space="preserve"> provisioning/datasources/</w:t>
      </w:r>
      <w:r>
        <w:t xml:space="preserve"> folder using the following sample datasource YaML.</w:t>
      </w:r>
    </w:p>
    <w:p w:rsidR="00E13E0E" w:rsidRDefault="00E13E0E" w:rsidP="00E13E0E">
      <w:pPr>
        <w:pStyle w:val="Heading1"/>
      </w:pPr>
      <w:bookmarkStart w:id="12" w:name="_Toc21591668"/>
      <w:r>
        <w:t>View the Dashboards</w:t>
      </w:r>
      <w:bookmarkEnd w:id="12"/>
    </w:p>
    <w:p w:rsidR="00E13E0E" w:rsidRDefault="00E13E0E" w:rsidP="00E13E0E">
      <w:r>
        <w:t>When all components are configured properly, the following dashboards can be used to monitor MemSQL cluster health, including:</w:t>
      </w:r>
    </w:p>
    <w:p w:rsidR="00E13E0E" w:rsidRDefault="00CA4EC7" w:rsidP="009F1A24">
      <w:pPr>
        <w:numPr>
          <w:ilvl w:val="0"/>
          <w:numId w:val="4"/>
        </w:numPr>
        <w:spacing w:after="0" w:line="240" w:lineRule="auto"/>
      </w:pPr>
      <w:hyperlink r:id="rId13">
        <w:r w:rsidR="00E13E0E">
          <w:rPr>
            <w:b/>
            <w:color w:val="1155CC"/>
            <w:u w:val="single"/>
          </w:rPr>
          <w:t>Detailed Cluster View</w:t>
        </w:r>
      </w:hyperlink>
      <w:r w:rsidR="00E13E0E">
        <w:t>: Akin to a “birds-eye” view of a single cluster</w:t>
      </w:r>
    </w:p>
    <w:p w:rsidR="009F1A24" w:rsidRDefault="009F1A24" w:rsidP="009F1A24">
      <w:pPr>
        <w:spacing w:after="0" w:line="240" w:lineRule="auto"/>
        <w:ind w:left="720"/>
      </w:pPr>
    </w:p>
    <w:p w:rsidR="00E13E0E" w:rsidRDefault="00CA4EC7" w:rsidP="009F1A24">
      <w:pPr>
        <w:numPr>
          <w:ilvl w:val="0"/>
          <w:numId w:val="4"/>
        </w:numPr>
        <w:spacing w:after="0" w:line="240" w:lineRule="auto"/>
        <w:rPr>
          <w:b/>
        </w:rPr>
      </w:pPr>
      <w:hyperlink r:id="rId14">
        <w:r w:rsidR="00E13E0E">
          <w:rPr>
            <w:b/>
            <w:color w:val="1155CC"/>
            <w:u w:val="single"/>
          </w:rPr>
          <w:t>Memory Usage</w:t>
        </w:r>
      </w:hyperlink>
      <w:r w:rsidR="00E13E0E">
        <w:rPr>
          <w:b/>
        </w:rPr>
        <w:t xml:space="preserve">: </w:t>
      </w:r>
      <w:r w:rsidR="00E13E0E">
        <w:t>A granular breakdown of memory usage for a host</w:t>
      </w:r>
    </w:p>
    <w:p w:rsidR="009F1A24" w:rsidRPr="009F1A24" w:rsidRDefault="009F1A24" w:rsidP="009F1A24">
      <w:pPr>
        <w:spacing w:after="0" w:line="240" w:lineRule="auto"/>
        <w:rPr>
          <w:b/>
        </w:rPr>
      </w:pPr>
    </w:p>
    <w:p w:rsidR="00E13E0E" w:rsidRDefault="00CA4EC7" w:rsidP="009F1A24">
      <w:pPr>
        <w:numPr>
          <w:ilvl w:val="0"/>
          <w:numId w:val="4"/>
        </w:numPr>
        <w:spacing w:after="0" w:line="240" w:lineRule="auto"/>
        <w:rPr>
          <w:b/>
        </w:rPr>
      </w:pPr>
      <w:hyperlink r:id="rId15">
        <w:r w:rsidR="00E13E0E">
          <w:rPr>
            <w:b/>
            <w:color w:val="1155CC"/>
            <w:u w:val="single"/>
          </w:rPr>
          <w:t>Active Session History</w:t>
        </w:r>
      </w:hyperlink>
      <w:r w:rsidR="00E13E0E">
        <w:rPr>
          <w:b/>
        </w:rPr>
        <w:t xml:space="preserve">: </w:t>
      </w:r>
      <w:r w:rsidR="00E13E0E">
        <w:t>Aggregate resource consumption by activity and activity type</w:t>
      </w:r>
    </w:p>
    <w:p w:rsidR="009F1A24" w:rsidRPr="009F1A24" w:rsidRDefault="009F1A24" w:rsidP="009F1A24">
      <w:pPr>
        <w:spacing w:after="0" w:line="240" w:lineRule="auto"/>
        <w:rPr>
          <w:b/>
        </w:rPr>
      </w:pPr>
    </w:p>
    <w:p w:rsidR="00E13E0E" w:rsidRDefault="00CA4EC7" w:rsidP="009F1A24">
      <w:pPr>
        <w:numPr>
          <w:ilvl w:val="0"/>
          <w:numId w:val="4"/>
        </w:numPr>
        <w:spacing w:after="0" w:line="240" w:lineRule="auto"/>
      </w:pPr>
      <w:hyperlink r:id="rId16">
        <w:r w:rsidR="00E13E0E">
          <w:rPr>
            <w:b/>
            <w:color w:val="1155CC"/>
            <w:u w:val="single"/>
          </w:rPr>
          <w:t>Activity History</w:t>
        </w:r>
      </w:hyperlink>
      <w:r w:rsidR="00E13E0E">
        <w:t>: Historical resource consumption by a specific activity</w:t>
      </w:r>
    </w:p>
    <w:p w:rsidR="009F1A24" w:rsidRDefault="009F1A24" w:rsidP="009F1A24">
      <w:pPr>
        <w:spacing w:after="0" w:line="240" w:lineRule="auto"/>
      </w:pPr>
    </w:p>
    <w:p w:rsidR="00E13E0E" w:rsidRDefault="00CA4EC7" w:rsidP="009F1A24">
      <w:pPr>
        <w:numPr>
          <w:ilvl w:val="0"/>
          <w:numId w:val="4"/>
        </w:numPr>
        <w:spacing w:after="0" w:line="240" w:lineRule="auto"/>
      </w:pPr>
      <w:hyperlink r:id="rId17">
        <w:r w:rsidR="00E13E0E">
          <w:rPr>
            <w:b/>
            <w:color w:val="1155CC"/>
            <w:u w:val="single"/>
          </w:rPr>
          <w:t>MemSQL Status and Variables View</w:t>
        </w:r>
      </w:hyperlink>
      <w:r w:rsidR="00E13E0E">
        <w:t>: Collected status variables from each host in the cluster</w:t>
      </w:r>
    </w:p>
    <w:p w:rsidR="009F1A24" w:rsidRDefault="009F1A24" w:rsidP="009F1A24">
      <w:pPr>
        <w:spacing w:after="0" w:line="240" w:lineRule="auto"/>
      </w:pPr>
    </w:p>
    <w:p w:rsidR="00A4022E" w:rsidRPr="009F1A24" w:rsidRDefault="00CA4EC7" w:rsidP="009F1A24">
      <w:pPr>
        <w:numPr>
          <w:ilvl w:val="0"/>
          <w:numId w:val="4"/>
        </w:numPr>
        <w:spacing w:after="0" w:line="240" w:lineRule="auto"/>
        <w:rPr>
          <w:b/>
        </w:rPr>
      </w:pPr>
      <w:hyperlink r:id="rId18">
        <w:r w:rsidR="00E13E0E">
          <w:rPr>
            <w:b/>
            <w:color w:val="1155CC"/>
            <w:u w:val="single"/>
          </w:rPr>
          <w:t>Node Breakout</w:t>
        </w:r>
      </w:hyperlink>
      <w:r w:rsidR="00E13E0E">
        <w:rPr>
          <w:b/>
        </w:rPr>
        <w:t xml:space="preserve">: </w:t>
      </w:r>
      <w:r w:rsidR="00E13E0E">
        <w:t>System metrics from each host</w:t>
      </w:r>
    </w:p>
    <w:sectPr w:rsidR="00A4022E" w:rsidRPr="009F1A24" w:rsidSect="00CA4EC7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170" w:right="1440" w:bottom="900" w:left="1440" w:header="792" w:footer="576" w:gutter="0"/>
      <w:pgNumType w:start="1"/>
      <w:cols w:space="720"/>
      <w:titlePg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CC9AA7" w15:done="0"/>
  <w15:commentEx w15:paraId="7155B5FE" w15:done="0"/>
  <w15:commentEx w15:paraId="0033D8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CC9AA7" w16cid:durableId="2149716C"/>
  <w16cid:commentId w16cid:paraId="7155B5FE" w16cid:durableId="2149716D"/>
  <w16cid:commentId w16cid:paraId="0033D81C" w16cid:durableId="2149716E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051" w:rsidRDefault="00414051">
      <w:pPr>
        <w:spacing w:after="0" w:line="240" w:lineRule="auto"/>
      </w:pPr>
      <w:r>
        <w:separator/>
      </w:r>
    </w:p>
  </w:endnote>
  <w:endnote w:type="continuationSeparator" w:id="0">
    <w:p w:rsidR="00414051" w:rsidRDefault="00414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Arial"/>
    <w:panose1 w:val="020F0502020204030203"/>
    <w:charset w:val="00"/>
    <w:family w:val="auto"/>
    <w:pitch w:val="default"/>
    <w:sig w:usb0="00000000" w:usb1="00000000" w:usb2="00000000" w:usb3="00000000" w:csb0="00000000" w:csb1="00000000"/>
  </w:font>
  <w:font w:name="Proxima Nova">
    <w:altName w:val="Arial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panose1 w:val="020F05020202040302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22E" w:rsidRDefault="008321E4">
    <w:pPr>
      <w:jc w:val="right"/>
      <w:rPr>
        <w:color w:val="808080"/>
        <w:sz w:val="20"/>
        <w:szCs w:val="20"/>
      </w:rPr>
    </w:pPr>
    <w:r>
      <w:rPr>
        <w:color w:val="808080"/>
        <w:sz w:val="20"/>
        <w:szCs w:val="20"/>
      </w:rPr>
      <w:t xml:space="preserve">                                                                                </w:t>
    </w:r>
    <w:r w:rsidR="00CA4EC7">
      <w:rPr>
        <w:color w:val="808080"/>
        <w:sz w:val="20"/>
        <w:szCs w:val="20"/>
      </w:rPr>
      <w:fldChar w:fldCharType="begin"/>
    </w:r>
    <w:r>
      <w:rPr>
        <w:color w:val="808080"/>
        <w:sz w:val="20"/>
        <w:szCs w:val="20"/>
      </w:rPr>
      <w:instrText>PAGE</w:instrText>
    </w:r>
    <w:r w:rsidR="00CA4EC7">
      <w:rPr>
        <w:color w:val="808080"/>
        <w:sz w:val="20"/>
        <w:szCs w:val="20"/>
      </w:rPr>
      <w:fldChar w:fldCharType="separate"/>
    </w:r>
    <w:r w:rsidR="00821153">
      <w:rPr>
        <w:noProof/>
        <w:color w:val="808080"/>
        <w:sz w:val="20"/>
        <w:szCs w:val="20"/>
      </w:rPr>
      <w:t>5</w:t>
    </w:r>
    <w:r w:rsidR="00CA4EC7">
      <w:rPr>
        <w:color w:val="808080"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22E" w:rsidRDefault="008321E4">
    <w:pPr>
      <w:rPr>
        <w:color w:val="9900FF"/>
        <w:sz w:val="20"/>
        <w:szCs w:val="20"/>
      </w:rPr>
    </w:pPr>
    <w:r>
      <w:rPr>
        <w:color w:val="9900FF"/>
        <w:sz w:val="20"/>
        <w:szCs w:val="20"/>
      </w:rPr>
      <w:t xml:space="preserve">2019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051" w:rsidRDefault="00414051">
      <w:pPr>
        <w:spacing w:after="0" w:line="240" w:lineRule="auto"/>
      </w:pPr>
      <w:r>
        <w:separator/>
      </w:r>
    </w:p>
  </w:footnote>
  <w:footnote w:type="continuationSeparator" w:id="0">
    <w:p w:rsidR="00414051" w:rsidRDefault="00414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22E" w:rsidRDefault="00A4022E">
    <w:pPr>
      <w:spacing w:after="0" w:line="240" w:lineRule="auto"/>
      <w:rPr>
        <w:rFonts w:ascii="Lato Black" w:eastAsia="Lato Black" w:hAnsi="Lato Black" w:cs="Lato Black"/>
        <w:color w:val="AA00FF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22E" w:rsidRDefault="00A4022E">
    <w:pPr>
      <w:widowControl w:val="0"/>
      <w:spacing w:after="0" w:line="240" w:lineRule="auto"/>
      <w:rPr>
        <w:b/>
        <w:color w:val="AA00FF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C6E28"/>
    <w:multiLevelType w:val="multilevel"/>
    <w:tmpl w:val="914C8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56E5EE9"/>
    <w:multiLevelType w:val="multilevel"/>
    <w:tmpl w:val="976A5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18A62AB"/>
    <w:multiLevelType w:val="multilevel"/>
    <w:tmpl w:val="142E73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28C54AB2"/>
    <w:multiLevelType w:val="multilevel"/>
    <w:tmpl w:val="C9C06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42D5D95"/>
    <w:multiLevelType w:val="multilevel"/>
    <w:tmpl w:val="E408B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4E86454"/>
    <w:multiLevelType w:val="multilevel"/>
    <w:tmpl w:val="6B5E6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EC07F75"/>
    <w:multiLevelType w:val="multilevel"/>
    <w:tmpl w:val="E0B64F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8DF4B66"/>
    <w:multiLevelType w:val="multilevel"/>
    <w:tmpl w:val="758024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A3C4F64"/>
    <w:multiLevelType w:val="multilevel"/>
    <w:tmpl w:val="FFB2F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69C0060"/>
    <w:multiLevelType w:val="multilevel"/>
    <w:tmpl w:val="391E7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DAF71AF"/>
    <w:multiLevelType w:val="multilevel"/>
    <w:tmpl w:val="17E87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9"/>
  </w:num>
  <w:num w:numId="6">
    <w:abstractNumId w:val="8"/>
  </w:num>
  <w:num w:numId="7">
    <w:abstractNumId w:val="10"/>
  </w:num>
  <w:num w:numId="8">
    <w:abstractNumId w:val="5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022E"/>
    <w:rsid w:val="00304C5F"/>
    <w:rsid w:val="00414051"/>
    <w:rsid w:val="00747521"/>
    <w:rsid w:val="00821153"/>
    <w:rsid w:val="008321E4"/>
    <w:rsid w:val="009F1A24"/>
    <w:rsid w:val="00A4022E"/>
    <w:rsid w:val="00CA4EC7"/>
    <w:rsid w:val="00E13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color w:val="4C4A57"/>
        <w:sz w:val="24"/>
        <w:szCs w:val="24"/>
        <w:lang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EC7"/>
  </w:style>
  <w:style w:type="paragraph" w:styleId="Heading1">
    <w:name w:val="heading 1"/>
    <w:basedOn w:val="Normal"/>
    <w:next w:val="Normal"/>
    <w:uiPriority w:val="9"/>
    <w:qFormat/>
    <w:rsid w:val="00CA4EC7"/>
    <w:pPr>
      <w:keepNext/>
      <w:keepLines/>
      <w:spacing w:before="360" w:line="276" w:lineRule="auto"/>
      <w:outlineLvl w:val="0"/>
    </w:pPr>
    <w:rPr>
      <w:b/>
      <w:color w:val="AA00FF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CA4EC7"/>
    <w:pPr>
      <w:keepNext/>
      <w:keepLines/>
      <w:spacing w:before="320"/>
      <w:outlineLvl w:val="1"/>
    </w:pPr>
    <w:rPr>
      <w:b/>
      <w:color w:val="AA00FF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CA4EC7"/>
    <w:pPr>
      <w:keepNext/>
      <w:keepLines/>
      <w:spacing w:before="280"/>
      <w:outlineLvl w:val="2"/>
    </w:pPr>
    <w:rPr>
      <w:b/>
      <w:color w:val="1B1A2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A4EC7"/>
    <w:pPr>
      <w:keepNext/>
      <w:keepLines/>
      <w:spacing w:before="280"/>
      <w:outlineLvl w:val="3"/>
    </w:pPr>
    <w:rPr>
      <w:b/>
      <w:color w:val="1B1A21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A4EC7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A4EC7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A4EC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A4EC7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CA4EC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E0E"/>
  </w:style>
  <w:style w:type="paragraph" w:styleId="Footer">
    <w:name w:val="footer"/>
    <w:basedOn w:val="Normal"/>
    <w:link w:val="FooterChar"/>
    <w:uiPriority w:val="99"/>
    <w:unhideWhenUsed/>
    <w:rsid w:val="00E1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E0E"/>
  </w:style>
  <w:style w:type="paragraph" w:styleId="BalloonText">
    <w:name w:val="Balloon Text"/>
    <w:basedOn w:val="Normal"/>
    <w:link w:val="BalloonTextChar"/>
    <w:uiPriority w:val="99"/>
    <w:semiHidden/>
    <w:unhideWhenUsed/>
    <w:rsid w:val="00E13E0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E0E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F1A24"/>
    <w:pPr>
      <w:tabs>
        <w:tab w:val="righ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3E0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13E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1A24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CA4E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EC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4EC7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fka.apache.org/documentation/" TargetMode="External"/><Relationship Id="rId13" Type="http://schemas.openxmlformats.org/officeDocument/2006/relationships/hyperlink" Target="http://example.com/d/detailed-cluster-view/detailed-cluster-view" TargetMode="External"/><Relationship Id="rId18" Type="http://schemas.openxmlformats.org/officeDocument/2006/relationships/hyperlink" Target="http://example.com/d/node-metrics-breakout/node-metrics-breakout" TargetMode="External"/><Relationship Id="rId26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s://grafana.com/docs/guides/getting_started/" TargetMode="External"/><Relationship Id="rId17" Type="http://schemas.openxmlformats.org/officeDocument/2006/relationships/hyperlink" Target="http://example.com/d/memsql-view-status-variables/memsql-view-status-and-variables" TargetMode="External"/><Relationship Id="rId25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hyperlink" Target="http://example.com/d/activity-history/activity-history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emsql.com/sql-reference/v6.8/grant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example.com/d/active-session-history/active-session-histor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open?id=1p1TUo3QjLS8iSISjTk5JYplAc55pxAI7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sBZfoqKT4nhA_kXuKOx-RIAMHp0PFra7?usp=sharing" TargetMode="External"/><Relationship Id="rId14" Type="http://schemas.openxmlformats.org/officeDocument/2006/relationships/hyperlink" Target="http://example.com/d/memory-usage/memory-usage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Ganesan</cp:lastModifiedBy>
  <cp:revision>5</cp:revision>
  <dcterms:created xsi:type="dcterms:W3CDTF">2019-10-10T13:01:00Z</dcterms:created>
  <dcterms:modified xsi:type="dcterms:W3CDTF">2023-03-17T01:20:00Z</dcterms:modified>
</cp:coreProperties>
</file>