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SMOV-JC-DIC-26-GIDEM-012-C, CON VIGENCIA DEL 01 DE JULIO 2026 AL 28 OCTUBRE DE 2026.</w:t>
      </w:r>
      <w:r>
        <w:rPr>
          <w:lang w:val="en-US"/>
        </w:rPr>
        <w:br/>
      </w:r>
      <w:r>
        <w:rPr>
          <w:lang w:val="en-US"/>
        </w:rPr>
        <w:t>Debe decir: SMOV-JC-DIC-26-GIDEM-012-C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