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 xml:space="preserve">Por medio del presente endoso, se incluye como Asegurado adicional a quedar en: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Asegurado Adicional:</w:t>
      </w:r>
      <w:r>
        <w:rPr>
          <w:lang w:val="en-US"/>
        </w:rPr>
        <w:br/>
      </w:r>
      <w:r>
        <w:rPr>
          <w:lang w:val="en-US"/>
        </w:rPr>
        <w:t xml:space="preserve">Creatividad e Integración en Servicios Médicos, S.A. de C.V. y/o Corporación Interamericana de Entretenimiento, S.A.B de C.V. y/o Compañías Filiales y/o Subsidiarias y/o Empresas Asociadas de Corporación Interamericana de Entretenimiento, S.A.B. de C.V., exclusivamente por responsabilidad Civil que le sea imputable por las actividades descritas en el riesgo asegurado.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Demás términos y condiciones permanecen sin modificación alguna.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El presente texto solo aplicará cuando el asegurado acredite por medio de un contrato en participación en conjunta o ser parte de las empresas filiales y/o subsidiarias y/o asociadas, considerar que todas aquellas empresas en las que el asegurado tenga el control directo se considerarían mediante la tenencia de más del 51.00% de las acciones de su capital social.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