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 en la póliza de referencia: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Descripción de actividades: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CONSERVACIÓN RUTINARIA DE TRAMOS EN 299.72 KM, EN LASRUTAS 15, 41 Y 120; DE LA RED FEDERAL LIBRE DE PEAJE, EN ELESTADO DE MICHOACÁN. (CON RECURSOS FONADIN)</w:t>
      </w:r>
      <w:r>
        <w:rPr>
          <w:lang w:val="en-US"/>
        </w:rPr>
        <w:br/>
      </w:r>
      <w:r>
        <w:rPr>
          <w:lang w:val="en-US"/>
        </w:rPr>
        <w:t>Debe decir: CONSERVACIÓN RUTINARIA DE TRAMOS EN 299.72 KM, EN LAS RUTAS 15, 41 Y 120; DE LA RED FEDERAL LIBRE DE PEAJE, EN ELESTADO DE MICHOACÁN. (CON RECURSOS FONANDIN)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r>
        <w:rPr>
          <w:lang w:val="en-US"/>
        </w:rPr>
        <w:br/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