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SEGURIDAD CARRETERA EN LA UNIDAD REGIONAL COATZACOALCOS, INCLUYE: COLOCACIÓN DE DISPOSITIVOS DE SEGURIDAD VIAL, DEFENSA METÁLICA DE TRES CRESTAS, SEÑALAMIENTO VERTICAL BAJO Y ELEVADO</w:t>
      </w:r>
      <w:r>
        <w:rPr>
          <w:lang w:val="en-US"/>
        </w:rPr>
        <w:br/>
      </w:r>
      <w:r>
        <w:rPr>
          <w:lang w:val="en-US"/>
        </w:rPr>
        <w:t>Debe decir: SEGURIDAD CARRETERA EN LA UNIDAD REGIONAL COATZACOALCOS, INCLUYE: COLOCACIÓN DE DISPOSITIVOS DE SEGURIDAD VIAL, DEFENSA METÁLICA DE TRES CRESTAS, SEÑALAMIENTO VERTICAL BAJO Y ELEVADO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MONEDA: SE ACLARA QUE SE REFIERE A MONEDA NACIONAL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