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 xml:space="preserve">Por medio del presente endoso, se incluye como Asegurado adicional a quedar en: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Asegurado Adicional:</w:t>
      </w:r>
      <w:r>
        <w:rPr>
          <w:lang w:val="en-US"/>
        </w:rPr>
        <w:br/>
      </w:r>
      <w:r>
        <w:rPr>
          <w:lang w:val="en-US"/>
        </w:rPr>
        <w:t>GRUPO ALCREQ, S.A. DE C.V.</w:t>
      </w:r>
      <w:r>
        <w:rPr>
          <w:lang w:val="en-US"/>
        </w:rPr>
        <w:br/>
      </w:r>
      <w:r>
        <w:rPr>
          <w:lang w:val="en-US"/>
        </w:rPr>
        <w:t>RFC: GAL151104FX4</w:t>
      </w:r>
      <w:r>
        <w:rPr>
          <w:lang w:val="en-US"/>
        </w:rPr>
        <w:br/>
      </w:r>
      <w:r>
        <w:rPr>
          <w:lang w:val="en-US"/>
        </w:rPr>
        <w:t>CALLE PEGASO NO. 3606</w:t>
      </w:r>
      <w:r>
        <w:rPr>
          <w:lang w:val="en-US"/>
        </w:rPr>
        <w:br/>
      </w:r>
      <w:r>
        <w:rPr>
          <w:lang w:val="en-US"/>
        </w:rPr>
        <w:t>COL. LA CALMA</w:t>
      </w:r>
      <w:r>
        <w:rPr>
          <w:lang w:val="en-US"/>
        </w:rPr>
        <w:br/>
      </w:r>
      <w:r>
        <w:rPr>
          <w:lang w:val="en-US"/>
        </w:rPr>
        <w:t>ZAPOPAN, JALISCO, C.P. 45070</w:t>
      </w:r>
      <w:r>
        <w:rPr>
          <w:lang w:val="en-US"/>
        </w:rPr>
        <w:br/>
      </w:r>
      <w:r>
        <w:rPr>
          <w:lang w:val="en-US"/>
        </w:rPr>
        <w:t xml:space="preserve">, exclusivamente por responsabilidad Civil que le sea imputable por las actividades descritas en el riesgo asegurado.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Demás términos y condiciones permanecen sin modificación alguna.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El presente texto solo aplicará cuando el asegurado acredite por medio de un contrato en participación en conjunta o ser parte de las empresas filiales y/o subsidiarias y/o asociadas, considerar que todas aquellas empresas en las que el asegurado tenga el control directo se considerarían mediante la tenencia de más del 51.00% de las acciones de su capital social.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