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>Por medio del presente endoso y a solicitud del asegurado, se aclara lo siguiente en la póliza de referencia: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Descripción de actividades: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Dice: INSTALACIÓN, OPERACIÓN Y MANTENIMIENTO DE</w:t>
      </w:r>
      <w:r>
        <w:rPr>
          <w:lang w:val="en-US"/>
        </w:rPr>
        <w:br/>
      </w:r>
      <w:r>
        <w:rPr>
          <w:lang w:val="en-US"/>
        </w:rPr>
        <w:t>EQUIPOS DE BOMBEO COMO SISTEMAS DE BOMBEO</w:t>
      </w:r>
      <w:r>
        <w:rPr>
          <w:lang w:val="en-US"/>
        </w:rPr>
        <w:br/>
      </w:r>
      <w:r>
        <w:rPr>
          <w:lang w:val="en-US"/>
        </w:rPr>
        <w:t>Debe decir: MANTENIMIENTO A LOS SISTEMAS DE EXTRACCIÓN DE AGUAS NACIONALES QUE ABASTECEN A LOS AEROPUERTOS DEL GAFSACOMM PARA EL CUMPLIMINENTO DE LA NORMA MEXICANA NMX-AA-179-SCFI-2018 POR UN VALOR CONTRATO DE TRES MILLONES SEISCIENTOS TREINTA Y CUATRO MIL CUATROCIENTOS CINCUENTA PESOS.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Los demás términos y condiciones permanecen sin modificación alguna.</w:t>
      </w:r>
      <w:r>
        <w:rPr>
          <w:lang w:val="en-US"/>
        </w:rPr>
        <w:br/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