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45161" w14:textId="4B7B4FDF" w:rsidR="009748B7" w:rsidRPr="003668AE" w:rsidRDefault="003668A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Texto</w:t>
      </w:r>
    </w:p>
    <w:sectPr w:rsidR="009748B7" w:rsidRPr="003668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6BA"/>
    <w:rsid w:val="003668AE"/>
    <w:rsid w:val="006436BA"/>
    <w:rsid w:val="009748B7"/>
    <w:rsid w:val="00CB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51E17"/>
  <w15:chartTrackingRefBased/>
  <w15:docId w15:val="{562DBFD2-B4DE-4722-8983-5DAF06106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36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36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3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3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3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3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3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3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36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36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36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Emision GDL RPA</dc:creator>
  <cp:keywords/>
  <dc:description/>
  <cp:lastModifiedBy>Emision GDL RPA</cp:lastModifiedBy>
  <cp:revision>2</cp:revision>
  <dcterms:created xsi:type="dcterms:W3CDTF">2025-03-31T17:37:00Z</dcterms:created>
  <dcterms:modified xsi:type="dcterms:W3CDTF">2025-03-31T17:39:00Z</dcterms:modified>
</cp:coreProperties>
</file>