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摘要：无法处理照片或文件上传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故障现象：无法直接处理照片或文件上传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影响范围：工单信息无法录入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初步判断：需要文字信息输入</w:t>
      </w:r>
    </w:p>
    <w:p>
      <w:pPr>
        <w:pStyle w:val="ListBullet"/>
      </w:pPr>
      <w:r>
        <w:t>根因分析：系统限制无法处理照片/文件</w:t>
      </w:r>
    </w:p>
    <w:p>
      <w:pPr>
        <w:pStyle w:val="ListBullet"/>
      </w:pPr>
      <w:r>
        <w:t>证据要点：用户上传了照片/文件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采取措施：要求用户按格式提供工单与设备信息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结果判定：待进一步处理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预防措施：提供文字输入格式说明</w:t>
      </w:r>
    </w:p>
    <w:p>
      <w:pPr>
        <w:pStyle w:val="ListBullet"/>
      </w:pPr>
      <w:r>
        <w:t>后续跟进：是；用户；立即</w:t>
      </w:r>
    </w:p>
    <w:p>
      <w:pPr>
        <w:pStyle w:val="Heading2"/>
      </w:pPr>
      <w:r>
        <w:t>附件（若有）</w:t>
      </w:r>
    </w:p>
    <w:p>
      <w:pPr>
        <w:pStyle w:val="ListBullet"/>
      </w:pPr>
      <w:r>
        <w:t>参见现场照片（文件名未提供）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