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Fix Report_维修报告</w:t>
      </w:r>
    </w:p>
    <w:p>
      <w:pPr>
        <w:pStyle w:val="Heading1"/>
      </w:pPr>
      <w:r>
        <w:t>维修报告 / Fix Report</w:t>
      </w:r>
    </w:p>
    <w:p>
      <w:r>
        <w:t>摘要：文本信息记录完成</w:t>
      </w:r>
      <w:r>
        <w:br/>
        <w:t>当前状态：已恢复 · 日期：2025-04-12</w:t>
      </w:r>
    </w:p>
    <w:p>
      <w:pPr>
        <w:pStyle w:val="Heading2"/>
      </w:pPr>
      <w:r>
        <w:t>1) Basic Info</w:t>
      </w:r>
    </w:p>
    <w:p>
      <w:pPr>
        <w:pStyle w:val="ListBullet"/>
      </w:pPr>
      <w:r>
        <w:t>工单号：WO-2025-0412</w:t>
      </w:r>
    </w:p>
    <w:p>
      <w:pPr>
        <w:pStyle w:val="ListBullet"/>
      </w:pPr>
      <w:r>
        <w:t>设备/资产：—</w:t>
      </w:r>
    </w:p>
    <w:p>
      <w:pPr>
        <w:pStyle w:val="ListBullet"/>
      </w:pPr>
      <w:r>
        <w:t>位置/产线：—</w:t>
      </w:r>
    </w:p>
    <w:p>
      <w:pPr>
        <w:pStyle w:val="ListBullet"/>
      </w:pPr>
      <w:r>
        <w:t>报告人：—</w:t>
      </w:r>
    </w:p>
    <w:p>
      <w:pPr>
        <w:pStyle w:val="ListBullet"/>
      </w:pPr>
      <w:r>
        <w:t>维修时间：2025-04-12 14:20 — —</w:t>
      </w:r>
    </w:p>
    <w:p>
      <w:pPr>
        <w:pStyle w:val="ListBullet"/>
      </w:pPr>
      <w:r>
        <w:t>当前状态：已恢复</w:t>
      </w:r>
    </w:p>
    <w:p>
      <w:pPr>
        <w:pStyle w:val="Heading2"/>
      </w:pPr>
      <w:r>
        <w:t>2) Fault Summary</w:t>
      </w:r>
    </w:p>
    <w:p>
      <w:pPr>
        <w:pStyle w:val="ListBullet"/>
      </w:pPr>
      <w:r>
        <w:t>故障现象：主轴冒烟伴有焦味</w:t>
      </w:r>
    </w:p>
    <w:p>
      <w:pPr>
        <w:pStyle w:val="ListBullet"/>
      </w:pPr>
      <w:r>
        <w:t>触发时间/频次：2025-04-12 14:20</w:t>
      </w:r>
    </w:p>
    <w:p>
      <w:pPr>
        <w:pStyle w:val="ListBullet"/>
      </w:pPr>
      <w:r>
        <w:t>影响范围：停产,安全</w:t>
      </w:r>
    </w:p>
    <w:p>
      <w:pPr>
        <w:pStyle w:val="ListBullet"/>
      </w:pPr>
      <w:r>
        <w:t>相关告警/代码：—</w:t>
      </w:r>
    </w:p>
    <w:p>
      <w:pPr>
        <w:pStyle w:val="Heading2"/>
      </w:pPr>
      <w:r>
        <w:t>3) Diagnosis</w:t>
      </w:r>
    </w:p>
    <w:p>
      <w:pPr>
        <w:pStyle w:val="ListBullet"/>
      </w:pPr>
      <w:r>
        <w:t>初步判断：—</w:t>
      </w:r>
    </w:p>
    <w:p>
      <w:pPr>
        <w:pStyle w:val="ListBullet"/>
      </w:pPr>
      <w:r>
        <w:t>根因分析：—</w:t>
      </w:r>
    </w:p>
    <w:p>
      <w:pPr>
        <w:pStyle w:val="ListBullet"/>
      </w:pPr>
      <w:r>
        <w:t>证据要点：—</w:t>
      </w:r>
    </w:p>
    <w:p>
      <w:pPr>
        <w:pStyle w:val="Heading2"/>
      </w:pPr>
      <w:r>
        <w:t>4) Actions Taken</w:t>
      </w:r>
    </w:p>
    <w:p>
      <w:pPr>
        <w:pStyle w:val="ListBullet"/>
      </w:pPr>
      <w:r>
        <w:t>采取措施：—</w:t>
      </w:r>
    </w:p>
    <w:p>
      <w:pPr>
        <w:pStyle w:val="ListBullet"/>
      </w:pPr>
      <w:r>
        <w:t>备件与材料：—</w:t>
      </w:r>
    </w:p>
    <w:p>
      <w:pPr>
        <w:pStyle w:val="ListBullet"/>
      </w:pPr>
      <w:r>
        <w:t>安全措施：—</w:t>
      </w:r>
    </w:p>
    <w:p>
      <w:pPr>
        <w:pStyle w:val="Heading2"/>
      </w:pPr>
      <w:r>
        <w:t>5) Validation &amp; Data</w:t>
      </w:r>
    </w:p>
    <w:p>
      <w:r>
        <w:rPr>
          <w:b/>
        </w:rPr>
        <w:t>关键参数对比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指标</w:t>
            </w:r>
          </w:p>
        </w:tc>
        <w:tc>
          <w:tcPr>
            <w:tcW w:type="dxa" w:w="2160"/>
          </w:tcPr>
          <w:p>
            <w:r>
              <w:rPr>
                <w:b/>
              </w:rPr>
              <w:t>Before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After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备注</w:t>
            </w:r>
          </w:p>
        </w:tc>
      </w:tr>
      <w:tr>
        <w:tc>
          <w:tcPr>
            <w:tcW w:type="dxa" w:w="2160"/>
          </w:tcPr>
          <w:p>
            <w:r>
              <w:t>振动 (mm/s)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温度 (°C)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电流 (A)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电压 (V)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湿度 (%)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转速 (rpm)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</w:tbl>
    <w:p>
      <w:pPr>
        <w:pStyle w:val="ListBullet"/>
      </w:pPr>
      <w:r>
        <w:t>验证方法：—</w:t>
      </w:r>
    </w:p>
    <w:p>
      <w:pPr>
        <w:pStyle w:val="ListBullet"/>
      </w:pPr>
      <w:r>
        <w:t>验证结果：—</w:t>
      </w:r>
    </w:p>
    <w:p>
      <w:pPr>
        <w:pStyle w:val="ListBullet"/>
      </w:pPr>
      <w:r>
        <w:t>风险与注意：—</w:t>
      </w:r>
    </w:p>
    <w:p>
      <w:pPr>
        <w:pStyle w:val="Heading2"/>
      </w:pPr>
      <w:r>
        <w:t>6) Result &amp; Follow‑ups</w:t>
      </w:r>
    </w:p>
    <w:p>
      <w:pPr>
        <w:pStyle w:val="ListBullet"/>
      </w:pPr>
      <w:r>
        <w:t>结果判定：—</w:t>
      </w:r>
    </w:p>
    <w:p>
      <w:pPr>
        <w:pStyle w:val="ListBullet"/>
      </w:pPr>
      <w:r>
        <w:t>停机时长：—</w:t>
      </w:r>
    </w:p>
    <w:p>
      <w:pPr>
        <w:pStyle w:val="ListBullet"/>
      </w:pPr>
      <w:r>
        <w:t>预防措施：—</w:t>
      </w:r>
    </w:p>
    <w:p>
      <w:pPr>
        <w:pStyle w:val="ListBullet"/>
      </w:pPr>
      <w:r>
        <w:t>后续跟进：—</w:t>
      </w:r>
    </w:p>
    <w:p>
      <w:pPr>
        <w:pStyle w:val="Heading2"/>
      </w:pPr>
      <w:r>
        <w:t>附件（若有）</w:t>
      </w:r>
    </w:p>
    <w:p>
      <w:r>
        <w:t>__________________________________________________</w:t>
      </w:r>
    </w:p>
    <w:p>
      <w:pPr>
        <w:pStyle w:val="Heading2"/>
      </w:pPr>
      <w:r>
        <w:t>LLM 自动总结与建议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项目</w:t>
            </w:r>
          </w:p>
        </w:tc>
        <w:tc>
          <w:tcPr>
            <w:tcW w:type="dxa" w:w="4320"/>
          </w:tcPr>
          <w:p>
            <w:r>
              <w:rPr>
                <w:b/>
              </w:rPr>
              <w:t>自动生成内容</w:t>
            </w:r>
          </w:p>
        </w:tc>
      </w:tr>
      <w:tr>
        <w:tc>
          <w:tcPr>
            <w:tcW w:type="dxa" w:w="4320"/>
          </w:tcPr>
          <w:p>
            <w:r>
              <w:t>Fault Summary (自动总结)</w:t>
            </w:r>
          </w:p>
        </w:tc>
        <w:tc>
          <w:tcPr>
            <w:tcW w:type="dxa" w:w="4320"/>
          </w:tcPr>
          <w:p>
            <w:r>
              <w:t>主轴冒烟伴有焦味，导致停产和安全问题</w:t>
            </w:r>
          </w:p>
        </w:tc>
      </w:tr>
      <w:tr>
        <w:tc>
          <w:tcPr>
            <w:tcW w:type="dxa" w:w="4320"/>
          </w:tcPr>
          <w:p>
            <w:r>
              <w:t>Repair Recommendation (建议)</w:t>
            </w:r>
          </w:p>
        </w:tc>
        <w:tc>
          <w:tcPr>
            <w:tcW w:type="dxa" w:w="4320"/>
          </w:tcPr>
          <w:p>
            <w:r>
              <w:t>建议立即停机检查，确认主轴损坏情况</w:t>
            </w:r>
          </w:p>
        </w:tc>
      </w:tr>
      <w:tr>
        <w:tc>
          <w:tcPr>
            <w:tcW w:type="dxa" w:w="4320"/>
          </w:tcPr>
          <w:p>
            <w:r>
              <w:t>Severity Level (严重程度)</w:t>
            </w:r>
          </w:p>
        </w:tc>
        <w:tc>
          <w:tcPr>
            <w:tcW w:type="dxa" w:w="4320"/>
          </w:tcPr>
          <w:p>
            <w:r>
              <w:t>高</w:t>
            </w:r>
          </w:p>
        </w:tc>
      </w:tr>
      <w:tr>
        <w:tc>
          <w:tcPr>
            <w:tcW w:type="dxa" w:w="4320"/>
          </w:tcPr>
          <w:p>
            <w:r>
              <w:t>Knowledge Base Inclusion (是否纳入知识库)</w:t>
            </w:r>
          </w:p>
        </w:tc>
        <w:tc>
          <w:tcPr>
            <w:tcW w:type="dxa" w:w="4320"/>
          </w:tcPr>
          <w:p>
            <w:r>
              <w:t>是</w:t>
            </w:r>
          </w:p>
        </w:tc>
      </w:tr>
      <w:tr>
        <w:tc>
          <w:tcPr>
            <w:tcW w:type="dxa" w:w="4320"/>
          </w:tcPr>
          <w:p>
            <w:r>
              <w:t>Risk Reminder (风险提醒)</w:t>
            </w:r>
          </w:p>
        </w:tc>
        <w:tc>
          <w:tcPr>
            <w:tcW w:type="dxa" w:w="4320"/>
          </w:tcPr>
          <w:p>
            <w:r>
              <w:t>存在安全隐患，需优先处理</w:t>
            </w:r>
          </w:p>
        </w:tc>
      </w:tr>
      <w:tr>
        <w:tc>
          <w:tcPr>
            <w:tcW w:type="dxa" w:w="4320"/>
          </w:tcPr>
          <w:p>
            <w:r>
              <w:t>Long-term Suggestion (长期建议)</w:t>
            </w:r>
          </w:p>
        </w:tc>
        <w:tc>
          <w:tcPr>
            <w:tcW w:type="dxa" w:w="4320"/>
          </w:tcPr>
          <w:p>
            <w:r>
              <w:t>定期检查主轴状态，预防类似问题</w:t>
            </w:r>
          </w:p>
        </w:tc>
      </w:tr>
    </w:tbl>
    <w:p>
      <w:r>
        <w:t>（正文结束）{</w:t>
      </w:r>
      <w:r>
        <w:br/>
        <w:t xml:space="preserve">  "fault_summary": "维修问题仅支持文本记录，缺少详细现象描述",</w:t>
      </w:r>
      <w:r>
        <w:br/>
        <w:t xml:space="preserve">  "recommendation": "建议完善文本记录或通过工单系统补充完整信息",</w:t>
      </w:r>
      <w:r>
        <w:br/>
        <w:t xml:space="preserve">  "severity": "中等",</w:t>
      </w:r>
      <w:r>
        <w:br/>
        <w:t xml:space="preserve">  "kb_inclusion": "否，信息不完整",</w:t>
      </w:r>
      <w:r>
        <w:br/>
        <w:t xml:space="preserve">  "risk": "信息缺失可能导致维修延误或误判",</w:t>
      </w:r>
      <w:r>
        <w:br/>
        <w:t xml:space="preserve">  "long_term": "建议建立完整的信息记录流程"</w:t>
      </w:r>
      <w:r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