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摘要：尚未完成问题回答</w:t>
      </w:r>
      <w:r>
        <w:br/>
        <w:t>当前状态：—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当前状态：—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pPr>
        <w:pStyle w:val="Heading2"/>
      </w:pPr>
      <w:r>
        <w:t>附件（若有）当前报告生成状态显示尚未收集到任何问题回答数据。根据系统要求，需要先完成Q1-Q6的6个问题的回答才能生成完整的维修报告。</w:t>
      </w:r>
    </w:p>
    <w:p>
      <w:r>
        <w:t>当前建议操作：</w:t>
      </w:r>
      <w:r>
        <w:br/>
        <w:t>1. 请先按格式回答第一个问题（Q1/6 — 工单与设备），格式要求：</w:t>
      </w:r>
      <w:r>
        <w:br/>
        <w:t xml:space="preserve">   工单=...; 设备=...; 位置=...; 状态=停机/降级/在线</w:t>
      </w:r>
      <w:r>
        <w:br/>
        <w:t xml:space="preserve">   （示例：工单=WO-2025-0412; 设备=CNC-12#主轴; 位置=Line A / Station 3; 状态=停机）</w:t>
      </w:r>
    </w:p>
    <w:p>
      <w:pPr>
        <w:pStyle w:val="ListNumber"/>
      </w:pPr>
      <w:r>
        <w:t>或回复"查看进度"来确认当前所有问题的回答状态</w:t>
      </w:r>
    </w:p>
    <w:p>
      <w:r>
        <w:t>所有字段当前均为"—"状态，待问题回答后将自动填充对应内容。LLM自动分析模块也将在数据完整后激活。</w:t>
      </w:r>
    </w:p>
    <w:p>
      <w:r>
        <w:t>（系统提示：此状态表示报告生成流程尚未启动，需从Q1开始逐步提供维修事件的基础信息）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