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Fix Report_维修报告</w:t>
      </w:r>
    </w:p>
    <w:p>
      <w:pPr>
        <w:pStyle w:val="Heading1"/>
      </w:pPr>
      <w:r>
        <w:t>维修报告 / Fix Report</w:t>
      </w:r>
    </w:p>
    <w:p>
      <w:r>
        <w:t>摘要：主轴停机待修</w:t>
      </w:r>
      <w:r>
        <w:br/>
        <w:t>当前状态：停机 · 日期：—</w:t>
      </w:r>
    </w:p>
    <w:p>
      <w:pPr>
        <w:pStyle w:val="Heading2"/>
      </w:pPr>
      <w:r>
        <w:t>1) Basic Info</w:t>
      </w:r>
    </w:p>
    <w:p>
      <w:pPr>
        <w:pStyle w:val="ListBullet"/>
      </w:pPr>
      <w:r>
        <w:t>工单号：WO-2025-0916</w:t>
      </w:r>
    </w:p>
    <w:p>
      <w:pPr>
        <w:pStyle w:val="ListBullet"/>
      </w:pPr>
      <w:r>
        <w:t>设备/资产：CNC5主轴</w:t>
      </w:r>
    </w:p>
    <w:p>
      <w:pPr>
        <w:pStyle w:val="ListBullet"/>
      </w:pPr>
      <w:r>
        <w:t>位置/产线：LineA</w:t>
      </w:r>
    </w:p>
    <w:p>
      <w:pPr>
        <w:pStyle w:val="ListBullet"/>
      </w:pPr>
      <w:r>
        <w:t>报告人：—</w:t>
      </w:r>
    </w:p>
    <w:p>
      <w:pPr>
        <w:pStyle w:val="ListBullet"/>
      </w:pPr>
      <w:r>
        <w:t>维修时间：—</w:t>
      </w:r>
    </w:p>
    <w:p>
      <w:pPr>
        <w:pStyle w:val="ListBullet"/>
      </w:pPr>
      <w:r>
        <w:t>当前状态：停机</w:t>
      </w:r>
    </w:p>
    <w:p>
      <w:pPr>
        <w:pStyle w:val="Heading2"/>
      </w:pPr>
      <w:r>
        <w:t>2) Fault Summary</w:t>
      </w:r>
    </w:p>
    <w:p>
      <w:pPr>
        <w:pStyle w:val="ListBullet"/>
      </w:pPr>
      <w:r>
        <w:t>故障现象：—</w:t>
      </w:r>
    </w:p>
    <w:p>
      <w:pPr>
        <w:pStyle w:val="ListBullet"/>
      </w:pPr>
      <w:r>
        <w:t>触发时间/频次：—</w:t>
      </w:r>
    </w:p>
    <w:p>
      <w:pPr>
        <w:pStyle w:val="ListBullet"/>
      </w:pPr>
      <w:r>
        <w:t>影响范围：—</w:t>
      </w:r>
    </w:p>
    <w:p>
      <w:pPr>
        <w:pStyle w:val="ListBullet"/>
      </w:pPr>
      <w:r>
        <w:t>相关告警/代码：—</w:t>
      </w:r>
    </w:p>
    <w:p>
      <w:pPr>
        <w:pStyle w:val="Heading2"/>
      </w:pPr>
      <w:r>
        <w:t>3) Diagnosis</w:t>
      </w:r>
    </w:p>
    <w:p>
      <w:pPr>
        <w:pStyle w:val="ListBullet"/>
      </w:pPr>
      <w:r>
        <w:t>初步判断：—</w:t>
      </w:r>
    </w:p>
    <w:p>
      <w:pPr>
        <w:pStyle w:val="ListBullet"/>
      </w:pPr>
      <w:r>
        <w:t>根因分析：—</w:t>
      </w:r>
    </w:p>
    <w:p>
      <w:pPr>
        <w:pStyle w:val="ListBullet"/>
      </w:pPr>
      <w:r>
        <w:t>证据要点：—</w:t>
      </w:r>
    </w:p>
    <w:p>
      <w:pPr>
        <w:pStyle w:val="Heading2"/>
      </w:pPr>
      <w:r>
        <w:t>4) Actions Taken</w:t>
      </w:r>
    </w:p>
    <w:p>
      <w:pPr>
        <w:pStyle w:val="ListBullet"/>
      </w:pPr>
      <w:r>
        <w:t>采取措施：—</w:t>
      </w:r>
    </w:p>
    <w:p>
      <w:pPr>
        <w:pStyle w:val="ListBullet"/>
      </w:pPr>
      <w:r>
        <w:t>备件与材料：—</w:t>
      </w:r>
    </w:p>
    <w:p>
      <w:pPr>
        <w:pStyle w:val="ListBullet"/>
      </w:pPr>
      <w:r>
        <w:t>安全措施：—</w:t>
      </w:r>
    </w:p>
    <w:p>
      <w:pPr>
        <w:pStyle w:val="Heading2"/>
      </w:pPr>
      <w:r>
        <w:t>5) Validation &amp; Data</w:t>
      </w:r>
    </w:p>
    <w:p>
      <w:r>
        <w:rPr>
          <w:b/>
        </w:rPr>
        <w:t>关键参数对比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指标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Before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After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</w:t>
            </w:r>
          </w:p>
        </w:tc>
      </w:tr>
      <w:tr>
        <w:tc>
          <w:tcPr>
            <w:tcW w:type="dxa" w:w="2160"/>
          </w:tcPr>
          <w:p>
            <w:r>
              <w:t>振动 (mm/s)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温度 (°C)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电流 (A)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电压 (V)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湿度 (%)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转速 (rpm)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</w:tbl>
    <w:p>
      <w:pPr>
        <w:pStyle w:val="ListBullet"/>
      </w:pPr>
      <w:r>
        <w:t>验证方法：—</w:t>
      </w:r>
    </w:p>
    <w:p>
      <w:pPr>
        <w:pStyle w:val="ListBullet"/>
      </w:pPr>
      <w:r>
        <w:t>验证结果：—</w:t>
      </w:r>
    </w:p>
    <w:p>
      <w:pPr>
        <w:pStyle w:val="ListBullet"/>
      </w:pPr>
      <w:r>
        <w:t>风险与注意：—</w:t>
      </w:r>
    </w:p>
    <w:p>
      <w:pPr>
        <w:pStyle w:val="Heading2"/>
      </w:pPr>
      <w:r>
        <w:t>6) Result &amp; Follow‑ups</w:t>
      </w:r>
    </w:p>
    <w:p>
      <w:pPr>
        <w:pStyle w:val="ListBullet"/>
      </w:pPr>
      <w:r>
        <w:t>结果判定：—</w:t>
      </w:r>
    </w:p>
    <w:p>
      <w:pPr>
        <w:pStyle w:val="ListBullet"/>
      </w:pPr>
      <w:r>
        <w:t>停机时长：—</w:t>
      </w:r>
    </w:p>
    <w:p>
      <w:pPr>
        <w:pStyle w:val="ListBullet"/>
      </w:pPr>
      <w:r>
        <w:t>预防措施：—</w:t>
      </w:r>
    </w:p>
    <w:p>
      <w:pPr>
        <w:pStyle w:val="ListBullet"/>
      </w:pPr>
      <w:r>
        <w:t>后续跟进：—</w:t>
      </w:r>
    </w:p>
    <w:p>
      <w:pPr>
        <w:pStyle w:val="Heading2"/>
      </w:pPr>
      <w:r>
        <w:t>附件（若有）</w:t>
      </w:r>
    </w:p>
    <w:p>
      <w:r>
        <w:t>（正文结束）</w:t>
      </w:r>
    </w:p>
    <w:p>
      <w:pPr>
        <w:pStyle w:val="Heading2"/>
      </w:pPr>
      <w:r>
        <w:t>附件（若有）</w:t>
      </w:r>
    </w:p>
    <w:p>
      <w:r>
        <w:t>1756743851061.image_md_block</w:t>
      </w:r>
    </w:p>
    <w:p>
      <w:pPr>
        <w:pStyle w:val="Heading2"/>
      </w:pPr>
      <w:r>
        <w:t>LLM 自动总结与建议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项目</w:t>
            </w:r>
          </w:p>
        </w:tc>
        <w:tc>
          <w:tcPr>
            <w:tcW w:type="dxa" w:w="4320"/>
          </w:tcPr>
          <w:p>
            <w:r>
              <w:rPr>
                <w:b/>
              </w:rPr>
              <w:t>自动生成内容</w:t>
            </w:r>
          </w:p>
        </w:tc>
      </w:tr>
      <w:tr>
        <w:tc>
          <w:tcPr>
            <w:tcW w:type="dxa" w:w="4320"/>
          </w:tcPr>
          <w:p>
            <w:r>
              <w:t>Fault Summary (自动总结)</w:t>
            </w:r>
          </w:p>
        </w:tc>
        <w:tc>
          <w:tcPr>
            <w:tcW w:type="dxa" w:w="4320"/>
          </w:tcPr>
          <w:p>
            <w:r>
              <w:t>CNC5主轴非计划停机，当前故障现象与原因未明确，需立即诊断。</w:t>
            </w:r>
          </w:p>
        </w:tc>
      </w:tr>
      <w:tr>
        <w:tc>
          <w:tcPr>
            <w:tcW w:type="dxa" w:w="4320"/>
          </w:tcPr>
          <w:p>
            <w:r>
              <w:t>Repair Recommendation (建议)</w:t>
            </w:r>
          </w:p>
        </w:tc>
        <w:tc>
          <w:tcPr>
            <w:tcW w:type="dxa" w:w="4320"/>
          </w:tcPr>
          <w:p>
            <w:r>
              <w:t>优先采集主轴振动、温度与电流数据，检查驱动系统与润滑状态。</w:t>
            </w:r>
          </w:p>
        </w:tc>
      </w:tr>
      <w:tr>
        <w:tc>
          <w:tcPr>
            <w:tcW w:type="dxa" w:w="4320"/>
          </w:tcPr>
          <w:p>
            <w:r>
              <w:t>Severity Level (严重程度)</w:t>
            </w:r>
          </w:p>
        </w:tc>
        <w:tc>
          <w:tcPr>
            <w:tcW w:type="dxa" w:w="4320"/>
          </w:tcPr>
          <w:p>
            <w:r>
              <w:t>严重（影响整条产线运行）</w:t>
            </w:r>
          </w:p>
        </w:tc>
      </w:tr>
      <w:tr>
        <w:tc>
          <w:tcPr>
            <w:tcW w:type="dxa" w:w="4320"/>
          </w:tcPr>
          <w:p>
            <w:r>
              <w:t>Knowledge Base Inclusion (是否纳入知识库)</w:t>
            </w:r>
          </w:p>
        </w:tc>
        <w:tc>
          <w:tcPr>
            <w:tcW w:type="dxa" w:w="4320"/>
          </w:tcPr>
          <w:p>
            <w:r>
              <w:t>否（待根因确认后补充完整案例）</w:t>
            </w:r>
          </w:p>
        </w:tc>
      </w:tr>
      <w:tr>
        <w:tc>
          <w:tcPr>
            <w:tcW w:type="dxa" w:w="4320"/>
          </w:tcPr>
          <w:p>
            <w:r>
              <w:t>Risk Reminder (风险提醒)</w:t>
            </w:r>
          </w:p>
        </w:tc>
        <w:tc>
          <w:tcPr>
            <w:tcW w:type="dxa" w:w="4320"/>
          </w:tcPr>
          <w:p>
            <w:r>
              <w:t>持续停机可能导致产线订单延误，需48小时内完成初步诊断。</w:t>
            </w:r>
          </w:p>
        </w:tc>
      </w:tr>
      <w:tr>
        <w:tc>
          <w:tcPr>
            <w:tcW w:type="dxa" w:w="4320"/>
          </w:tcPr>
          <w:p>
            <w:r>
              <w:t>Long-term Suggestion (长期建议)</w:t>
            </w:r>
          </w:p>
        </w:tc>
        <w:tc>
          <w:tcPr>
            <w:tcW w:type="dxa" w:w="4320"/>
          </w:tcPr>
          <w:p>
            <w:r>
              <w:t>建立主轴健康监测系统，设置振动阈值自动预警。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