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摘要：—</w:t>
      </w:r>
      <w:r>
        <w:br/>
        <w:t>当前状态：—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工单号：—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当前状态：—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故障现象：—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影响范围：—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pPr>
        <w:pStyle w:val="Heading2"/>
      </w:pPr>
      <w:r>
        <w:t>附件（若有）</w:t>
      </w:r>
    </w:p>
    <w:p>
      <w:r>
        <w:t>api</w:t>
      </w:r>
    </w:p>
    <w:p>
      <w:r>
        <w:t>md</w:t>
      </w:r>
      <w:r>
        <w:br/>
      </w:r>
    </w:p>
    <w:p>
      <w:pPr>
        <w:pStyle w:val="Heading2"/>
      </w:pPr>
      <w:r>
        <w:t>LLM 自动总结与建议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项目</w:t>
            </w:r>
          </w:p>
        </w:tc>
        <w:tc>
          <w:tcPr>
            <w:tcW w:type="dxa" w:w="4320"/>
          </w:tcPr>
          <w:p>
            <w:r>
              <w:rPr>
                <w:b/>
              </w:rPr>
              <w:t>自动生成内容</w:t>
            </w:r>
          </w:p>
        </w:tc>
      </w:tr>
      <w:tr>
        <w:tc>
          <w:tcPr>
            <w:tcW w:type="dxa" w:w="4320"/>
          </w:tcPr>
          <w:p>
            <w:r>
              <w:t>Fault Summary (自动总结)</w:t>
            </w:r>
          </w:p>
        </w:tc>
        <w:tc>
          <w:tcPr>
            <w:tcW w:type="dxa" w:w="4320"/>
          </w:tcPr>
          <w:p>
            <w:r>
              <w:t>设备故障导致停机，需进一步诊断与维修</w:t>
            </w:r>
          </w:p>
        </w:tc>
      </w:tr>
      <w:tr>
        <w:tc>
          <w:tcPr>
            <w:tcW w:type="dxa" w:w="4320"/>
          </w:tcPr>
          <w:p>
            <w:r>
              <w:t>Repair Recommendation (建议)</w:t>
            </w:r>
          </w:p>
        </w:tc>
        <w:tc>
          <w:tcPr>
            <w:tcW w:type="dxa" w:w="4320"/>
          </w:tcPr>
          <w:p>
            <w:r>
              <w:t>立即检查设备关键部件，更换损坏零件</w:t>
            </w:r>
          </w:p>
        </w:tc>
      </w:tr>
      <w:tr>
        <w:tc>
          <w:tcPr>
            <w:tcW w:type="dxa" w:w="4320"/>
          </w:tcPr>
          <w:p>
            <w:r>
              <w:t>Severity Level (严重程度)</w:t>
            </w:r>
          </w:p>
        </w:tc>
        <w:tc>
          <w:tcPr>
            <w:tcW w:type="dxa" w:w="4320"/>
          </w:tcPr>
          <w:p>
            <w:r>
              <w:t>严重</w:t>
            </w:r>
          </w:p>
        </w:tc>
      </w:tr>
      <w:tr>
        <w:tc>
          <w:tcPr>
            <w:tcW w:type="dxa" w:w="4320"/>
          </w:tcPr>
          <w:p>
            <w:r>
              <w:t>Knowledge Base Inclusion (是否纳入知识库)</w:t>
            </w:r>
          </w:p>
        </w:tc>
        <w:tc>
          <w:tcPr>
            <w:tcW w:type="dxa" w:w="4320"/>
          </w:tcPr>
          <w:p>
            <w:r>
              <w:t>是，可作为类似故障处理参考</w:t>
            </w:r>
          </w:p>
        </w:tc>
      </w:tr>
      <w:tr>
        <w:tc>
          <w:tcPr>
            <w:tcW w:type="dxa" w:w="4320"/>
          </w:tcPr>
          <w:p>
            <w:r>
              <w:t>Risk Reminder (风险提醒)</w:t>
            </w:r>
          </w:p>
        </w:tc>
        <w:tc>
          <w:tcPr>
            <w:tcW w:type="dxa" w:w="4320"/>
          </w:tcPr>
          <w:p>
            <w:r>
              <w:t>停机可能导致生产延误，需优先处理</w:t>
            </w:r>
          </w:p>
        </w:tc>
      </w:tr>
      <w:tr>
        <w:tc>
          <w:tcPr>
            <w:tcW w:type="dxa" w:w="4320"/>
          </w:tcPr>
          <w:p>
            <w:r>
              <w:t>Long-term Suggestion (长期建议)</w:t>
            </w:r>
          </w:p>
        </w:tc>
        <w:tc>
          <w:tcPr>
            <w:tcW w:type="dxa" w:w="4320"/>
          </w:tcPr>
          <w:p>
            <w:r>
              <w:t>定期维护设备，建立预防性维护计划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