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Fix Report_维修报告</w:t>
      </w:r>
    </w:p>
    <w:p>
      <w:pPr>
        <w:pStyle w:val="Heading1"/>
      </w:pPr>
      <w:r>
        <w:t>维修报告 / Fix Report</w:t>
      </w:r>
    </w:p>
    <w:p>
      <w:r>
        <w:t>摘要：报告采集未完成</w:t>
      </w:r>
      <w:r>
        <w:br/>
        <w:t>当前状态：未完成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附件（若有）</w:t>
      </w:r>
    </w:p>
    <w:p>
      <w:r>
        <w:br/>
      </w:r>
    </w:p>
    <w:p>
      <w:r>
        <w:t>__________________________________________________</w:t>
      </w:r>
    </w:p>
    <w:p>
      <w:r>
        <w:t>api</w:t>
      </w:r>
    </w:p>
    <w:p>
      <w:r>
        <w:t>md</w:t>
      </w:r>
      <w:r>
        <w:br/>
      </w:r>
      <w:r>
        <w:br/>
        <w:t>raw_html</w:t>
      </w:r>
    </w:p>
    <w:p>
      <w:r>
        <w:t>__________________________________________________</w:t>
      </w:r>
    </w:p>
    <w:p>
      <w:pPr>
        <w:pStyle w:val="Heading1"/>
      </w:pPr>
      <w:r>
        <w:t>维修报告 / Fix Report</w:t>
      </w:r>
    </w:p>
    <w:p>
      <w:r>
        <w:t>摘要：报告采集未完成</w:t>
      </w:r>
      <w:r>
        <w:br/>
        <w:t>当前状态：未完成 · 日期：—</w:t>
      </w:r>
    </w:p>
    <w:p>
      <w:pPr>
        <w:pStyle w:val="Heading2"/>
      </w:pPr>
      <w:r>
        <w:t>1) Basic Info</w:t>
      </w:r>
    </w:p>
    <w:p>
      <w:pPr>
        <w:pStyle w:val="ListBullet"/>
      </w:pPr>
      <w:r>
        <w:t>工单号：—</w:t>
      </w:r>
    </w:p>
    <w:p>
      <w:pPr>
        <w:pStyle w:val="ListBullet"/>
      </w:pPr>
      <w:r>
        <w:t>设备/资产：—</w:t>
      </w:r>
    </w:p>
    <w:p>
      <w:pPr>
        <w:pStyle w:val="ListBullet"/>
      </w:pPr>
      <w:r>
        <w:t>位置/产线：—</w:t>
      </w:r>
    </w:p>
    <w:p>
      <w:pPr>
        <w:pStyle w:val="ListBullet"/>
      </w:pPr>
      <w:r>
        <w:t>报告人：—</w:t>
      </w:r>
    </w:p>
    <w:p>
      <w:pPr>
        <w:pStyle w:val="ListBullet"/>
      </w:pPr>
      <w:r>
        <w:t>维修时间：—</w:t>
      </w:r>
    </w:p>
    <w:p>
      <w:pPr>
        <w:pStyle w:val="ListBullet"/>
      </w:pPr>
      <w:r>
        <w:t>当前状态：—</w:t>
      </w:r>
    </w:p>
    <w:p>
      <w:pPr>
        <w:pStyle w:val="Heading2"/>
      </w:pPr>
      <w:r>
        <w:t>2) Fault Summary</w:t>
      </w:r>
    </w:p>
    <w:p>
      <w:pPr>
        <w:pStyle w:val="ListBullet"/>
      </w:pPr>
      <w:r>
        <w:t>故障现象：—</w:t>
      </w:r>
    </w:p>
    <w:p>
      <w:pPr>
        <w:pStyle w:val="ListBullet"/>
      </w:pPr>
      <w:r>
        <w:t>触发时间/频次：—</w:t>
      </w:r>
    </w:p>
    <w:p>
      <w:pPr>
        <w:pStyle w:val="ListBullet"/>
      </w:pPr>
      <w:r>
        <w:t>影响范围：—</w:t>
      </w:r>
    </w:p>
    <w:p>
      <w:pPr>
        <w:pStyle w:val="ListBullet"/>
      </w:pPr>
      <w:r>
        <w:t>相关告警/代码：—</w:t>
      </w:r>
    </w:p>
    <w:p>
      <w:pPr>
        <w:pStyle w:val="Heading2"/>
      </w:pPr>
      <w:r>
        <w:t>3) Diagnosis</w:t>
      </w:r>
    </w:p>
    <w:p>
      <w:pPr>
        <w:pStyle w:val="ListBullet"/>
      </w:pPr>
      <w:r>
        <w:t>初步判断：—</w:t>
      </w:r>
    </w:p>
    <w:p>
      <w:pPr>
        <w:pStyle w:val="ListBullet"/>
      </w:pPr>
      <w:r>
        <w:t>根因分析：—</w:t>
      </w:r>
    </w:p>
    <w:p>
      <w:pPr>
        <w:pStyle w:val="ListBullet"/>
      </w:pPr>
      <w:r>
        <w:t>证据要点：—</w:t>
      </w:r>
    </w:p>
    <w:p>
      <w:pPr>
        <w:pStyle w:val="Heading2"/>
      </w:pPr>
      <w:r>
        <w:t>4) Actions Taken</w:t>
      </w:r>
    </w:p>
    <w:p>
      <w:pPr>
        <w:pStyle w:val="ListBullet"/>
      </w:pPr>
      <w:r>
        <w:t>采取措施：—</w:t>
      </w:r>
    </w:p>
    <w:p>
      <w:pPr>
        <w:pStyle w:val="ListBullet"/>
      </w:pPr>
      <w:r>
        <w:t>备件与材料：—</w:t>
      </w:r>
    </w:p>
    <w:p>
      <w:pPr>
        <w:pStyle w:val="ListBullet"/>
      </w:pPr>
      <w:r>
        <w:t>安全措施：—</w:t>
      </w:r>
    </w:p>
    <w:p>
      <w:pPr>
        <w:pStyle w:val="Heading2"/>
      </w:pPr>
      <w:r>
        <w:t>5) Validation &amp; Data</w:t>
      </w:r>
    </w:p>
    <w:p>
      <w:r>
        <w:rPr>
          <w:b/>
        </w:rPr>
        <w:t>关键参数对比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指标</w:t>
            </w:r>
          </w:p>
        </w:tc>
        <w:tc>
          <w:tcPr>
            <w:tcW w:type="dxa" w:w="2160"/>
          </w:tcPr>
          <w:p>
            <w:r>
              <w:rPr>
                <w:b/>
              </w:rPr>
              <w:t>Before</w:t>
            </w:r>
          </w:p>
        </w:tc>
        <w:tc>
          <w:tcPr>
            <w:tcW w:type="dxa" w:w="2160"/>
          </w:tcPr>
          <w:p>
            <w:r>
              <w:rPr>
                <w:b/>
              </w:rPr>
              <w:t>After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备注</w:t>
            </w:r>
          </w:p>
        </w:tc>
      </w:tr>
      <w:tr>
        <w:tc>
          <w:tcPr>
            <w:tcW w:type="dxa" w:w="2160"/>
          </w:tcPr>
          <w:p>
            <w:r>
              <w:t>振动 (mm/s)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温度 (°C)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电流 (A)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电压 (V)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湿度 (%)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  <w:tr>
        <w:tc>
          <w:tcPr>
            <w:tcW w:type="dxa" w:w="2160"/>
          </w:tcPr>
          <w:p>
            <w:r>
              <w:t>转速 (rpm)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  <w:tc>
          <w:tcPr>
            <w:tcW w:type="dxa" w:w="2160"/>
          </w:tcPr>
          <w:p>
            <w:r>
              <w:t>—</w:t>
            </w:r>
          </w:p>
        </w:tc>
      </w:tr>
    </w:tbl>
    <w:p>
      <w:pPr>
        <w:pStyle w:val="ListBullet"/>
      </w:pPr>
      <w:r>
        <w:t>验证方法：—</w:t>
      </w:r>
    </w:p>
    <w:p>
      <w:pPr>
        <w:pStyle w:val="ListBullet"/>
      </w:pPr>
      <w:r>
        <w:t>验证结果：—</w:t>
      </w:r>
    </w:p>
    <w:p>
      <w:pPr>
        <w:pStyle w:val="ListBullet"/>
      </w:pPr>
      <w:r>
        <w:t>风险与注意：—</w:t>
      </w:r>
    </w:p>
    <w:p>
      <w:pPr>
        <w:pStyle w:val="Heading2"/>
      </w:pPr>
      <w:r>
        <w:t>6) Result &amp; Follow‑ups</w:t>
      </w:r>
    </w:p>
    <w:p>
      <w:pPr>
        <w:pStyle w:val="ListBullet"/>
      </w:pPr>
      <w:r>
        <w:t>结果判定：—</w:t>
      </w:r>
    </w:p>
    <w:p>
      <w:pPr>
        <w:pStyle w:val="ListBullet"/>
      </w:pPr>
      <w:r>
        <w:t>停机时长：—</w:t>
      </w:r>
    </w:p>
    <w:p>
      <w:pPr>
        <w:pStyle w:val="ListBullet"/>
      </w:pPr>
      <w:r>
        <w:t>预防措施：—</w:t>
      </w:r>
    </w:p>
    <w:p>
      <w:pPr>
        <w:pStyle w:val="ListBullet"/>
      </w:pPr>
      <w:r>
        <w:t>后续跟进：—</w:t>
      </w:r>
    </w:p>
    <w:p>
      <w:r>
        <w:t>（正文结束）</w:t>
      </w:r>
    </w:p>
    <w:p>
      <w:pPr>
        <w:pStyle w:val="Heading2"/>
      </w:pPr>
      <w:r>
        <w:t>LLM 自动总结与建议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项目</w:t>
            </w:r>
          </w:p>
        </w:tc>
        <w:tc>
          <w:tcPr>
            <w:tcW w:type="dxa" w:w="4320"/>
          </w:tcPr>
          <w:p>
            <w:r>
              <w:rPr>
                <w:b/>
              </w:rPr>
              <w:t>自动生成内容</w:t>
            </w:r>
          </w:p>
        </w:tc>
      </w:tr>
      <w:tr>
        <w:tc>
          <w:tcPr>
            <w:tcW w:type="dxa" w:w="4320"/>
          </w:tcPr>
          <w:p>
            <w:r>
              <w:t>Fault Summary (自动总结)</w:t>
            </w:r>
          </w:p>
        </w:tc>
        <w:tc>
          <w:tcPr>
            <w:tcW w:type="dxa" w:w="4320"/>
          </w:tcPr>
          <w:p>
            <w:r>
              <w:t>报告信息不完整，无法生成有效故障总结</w:t>
            </w:r>
          </w:p>
        </w:tc>
      </w:tr>
      <w:tr>
        <w:tc>
          <w:tcPr>
            <w:tcW w:type="dxa" w:w="4320"/>
          </w:tcPr>
          <w:p>
            <w:r>
              <w:t>Repair Recommendation (建议)</w:t>
            </w:r>
          </w:p>
        </w:tc>
        <w:tc>
          <w:tcPr>
            <w:tcW w:type="dxa" w:w="4320"/>
          </w:tcPr>
          <w:p>
            <w:r>
              <w:t>请先完成全部基础问题采集，特别是诊断证据和处理措施</w:t>
            </w:r>
          </w:p>
        </w:tc>
      </w:tr>
      <w:tr>
        <w:tc>
          <w:tcPr>
            <w:tcW w:type="dxa" w:w="4320"/>
          </w:tcPr>
          <w:p>
            <w:r>
              <w:t>Severity Level (严重程度)</w:t>
            </w:r>
          </w:p>
        </w:tc>
        <w:tc>
          <w:tcPr>
            <w:tcW w:type="dxa" w:w="4320"/>
          </w:tcPr>
          <w:p>
            <w:r>
              <w:t>轻度（仅信息缺失，无实际故障数据）</w:t>
            </w:r>
          </w:p>
        </w:tc>
      </w:tr>
      <w:tr>
        <w:tc>
          <w:tcPr>
            <w:tcW w:type="dxa" w:w="4320"/>
          </w:tcPr>
          <w:p>
            <w:r>
              <w:t>Knowledge Base Inclusion (是否纳入知识库)</w:t>
            </w:r>
          </w:p>
        </w:tc>
        <w:tc>
          <w:tcPr>
            <w:tcW w:type="dxa" w:w="4320"/>
          </w:tcPr>
          <w:p>
            <w:r>
              <w:t>否（报告不完整，无参考价值）</w:t>
            </w:r>
          </w:p>
        </w:tc>
      </w:tr>
      <w:tr>
        <w:tc>
          <w:tcPr>
            <w:tcW w:type="dxa" w:w="4320"/>
          </w:tcPr>
          <w:p>
            <w:r>
              <w:t>Risk Reminder (风险提醒)</w:t>
            </w:r>
          </w:p>
        </w:tc>
        <w:tc>
          <w:tcPr>
            <w:tcW w:type="dxa" w:w="4320"/>
          </w:tcPr>
          <w:p>
            <w:r>
              <w:t>不完整报告可能导致维修决策失误</w:t>
            </w:r>
          </w:p>
        </w:tc>
      </w:tr>
      <w:tr>
        <w:tc>
          <w:tcPr>
            <w:tcW w:type="dxa" w:w="4320"/>
          </w:tcPr>
          <w:p>
            <w:r>
              <w:t>Long-term Suggestion (长期建议)</w:t>
            </w:r>
          </w:p>
        </w:tc>
        <w:tc>
          <w:tcPr>
            <w:tcW w:type="dxa" w:w="4320"/>
          </w:tcPr>
          <w:p>
            <w:r>
              <w:t>建立强制报告完整度检查机制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