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摘要：冷却堵塞导致的轴承过热(ALM-213)已修复，振动降低55%，温度回归安全范围</w:t>
      </w:r>
      <w:r>
        <w:br/>
        <w:t>当前状态：已恢复 · 日期：2025-04-12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工单号：WO-2025-0412</w:t>
      </w:r>
    </w:p>
    <w:p>
      <w:pPr>
        <w:pStyle w:val="ListBullet"/>
      </w:pPr>
      <w:r>
        <w:t>设备/资产：CNC-12#主轴</w:t>
      </w:r>
    </w:p>
    <w:p>
      <w:pPr>
        <w:pStyle w:val="ListBullet"/>
      </w:pPr>
      <w:r>
        <w:t>位置/产线：Line A / Station 3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当前状态：已恢复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故障现象：冷却堵塞导致的轴承过热(ALM-213)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相关告警/代码：ALM-213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初步判断：冷却堵塞导致的轴承过热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振动降低55%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回归安全范围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验证结果：通过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结果判定：已修复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后续跟进：王五负责在2025-05-01前完成预防措施验证</w:t>
      </w:r>
    </w:p>
    <w:p>
      <w:r>
        <w:t>__________________________________________________</w:t>
      </w:r>
    </w:p>
    <w:p>
      <w:pPr>
        <w:pStyle w:val="Heading2"/>
      </w:pPr>
      <w:r>
        <w:t>附件（若有）</w:t>
      </w:r>
    </w:p>
    <w:p>
      <w:r>
        <w:t>__________________________________________________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项目</w:t>
            </w:r>
          </w:p>
        </w:tc>
        <w:tc>
          <w:tcPr>
            <w:tcW w:type="dxa" w:w="4320"/>
          </w:tcPr>
          <w:p>
            <w:r>
              <w:rPr>
                <w:b/>
              </w:rPr>
              <w:t>自动生成内容</w:t>
            </w:r>
          </w:p>
        </w:tc>
      </w:tr>
      <w:tr>
        <w:tc>
          <w:tcPr>
            <w:tcW w:type="dxa" w:w="4320"/>
          </w:tcPr>
          <w:p>
            <w:r>
              <w:t>Fault Summary (自动总结)</w:t>
            </w:r>
          </w:p>
        </w:tc>
        <w:tc>
          <w:tcPr>
            <w:tcW w:type="dxa" w:w="4320"/>
          </w:tcPr>
          <w:p>
            <w:r>
              <w:t>CNC-12#主轴因冷却系统堵塞引发轴承过热(ALM-213)，已通过清理维护解决核心问题。</w:t>
            </w:r>
          </w:p>
        </w:tc>
      </w:tr>
      <w:tr>
        <w:tc>
          <w:tcPr>
            <w:tcW w:type="dxa" w:w="4320"/>
          </w:tcPr>
          <w:p>
            <w:r>
              <w:t>Repair Recommendation (建议)</w:t>
            </w:r>
          </w:p>
        </w:tc>
        <w:tc>
          <w:tcPr>
            <w:tcW w:type="dxa" w:w="4320"/>
          </w:tcPr>
          <w:p>
            <w:r>
              <w:t>建议对产线所有CNC主轴冷却管路实施季度性预防性清理，并升级堵塞传感器灵敏度阈值。</w:t>
            </w:r>
          </w:p>
        </w:tc>
      </w:tr>
      <w:tr>
        <w:tc>
          <w:tcPr>
            <w:tcW w:type="dxa" w:w="4320"/>
          </w:tcPr>
          <w:p>
            <w:r>
              <w:t>Severity Level (严重程度)</w:t>
            </w:r>
          </w:p>
        </w:tc>
        <w:tc>
          <w:tcPr>
            <w:tcW w:type="dxa" w:w="4320"/>
          </w:tcPr>
          <w:p>
            <w:r>
              <w:t>中等（可能引发连锁性设备损伤但未造成实际停产）</w:t>
            </w:r>
          </w:p>
        </w:tc>
      </w:tr>
      <w:tr>
        <w:tc>
          <w:tcPr>
            <w:tcW w:type="dxa" w:w="4320"/>
          </w:tcPr>
          <w:p>
            <w:r>
              <w:t>Knowledge Base Inclusion (是否纳入知识库)</w:t>
            </w:r>
          </w:p>
        </w:tc>
        <w:tc>
          <w:tcPr>
            <w:tcW w:type="dxa" w:w="4320"/>
          </w:tcPr>
          <w:p>
            <w:r>
              <w:t>是（典型冷却系统失效案例，可作为多机型共通故障参考）</w:t>
            </w:r>
          </w:p>
        </w:tc>
      </w:tr>
      <w:tr>
        <w:tc>
          <w:tcPr>
            <w:tcW w:type="dxa" w:w="4320"/>
          </w:tcPr>
          <w:p>
            <w:r>
              <w:t>Risk Reminder (风险提醒)</w:t>
            </w:r>
          </w:p>
        </w:tc>
        <w:tc>
          <w:tcPr>
            <w:tcW w:type="dxa" w:w="4320"/>
          </w:tcPr>
          <w:p>
            <w:r>
              <w:t>需警惕金属碎屑二次堆积风险，建议加装管道磁性过滤器。</w:t>
            </w:r>
          </w:p>
        </w:tc>
      </w:tr>
      <w:tr>
        <w:tc>
          <w:tcPr>
            <w:tcW w:type="dxa" w:w="4320"/>
          </w:tcPr>
          <w:p>
            <w:r>
              <w:t>Long-term Suggestion (长期建议)</w:t>
            </w:r>
          </w:p>
        </w:tc>
        <w:tc>
          <w:tcPr>
            <w:tcW w:type="dxa" w:w="4320"/>
          </w:tcPr>
          <w:p>
            <w:r>
              <w:t>将主轴冷却效率纳入设备健康度评估体系，建立预测性维护模型。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