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2ED563B1" w:rsidR="00F80F25" w:rsidRPr="00BC387B" w:rsidRDefault="001F5AE1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ADR Manager: A Tool-Supported Approach for the Efficient Creation and Management of Architectural Decision Records</w:t>
      </w:r>
    </w:p>
    <w:p w14:paraId="6A2D10B3" w14:textId="0D9EB373" w:rsidR="00F80F25" w:rsidRDefault="00122FD4" w:rsidP="00122FD4">
      <w:pPr>
        <w:pStyle w:val="BodyText"/>
        <w:jc w:val="center"/>
        <w:rPr>
          <w:rFonts w:eastAsia="Andale Sans UI" w:cs="Tahoma"/>
          <w:sz w:val="32"/>
          <w:szCs w:val="28"/>
          <w:lang w:bidi="en-US"/>
        </w:rPr>
      </w:pPr>
      <w:r w:rsidRPr="00122FD4">
        <w:rPr>
          <w:rFonts w:eastAsia="Andale Sans UI" w:cs="Tahoma"/>
          <w:sz w:val="32"/>
          <w:szCs w:val="28"/>
          <w:lang w:bidi="en-US"/>
        </w:rPr>
        <w:t>Research Project (Bachelor-</w:t>
      </w:r>
      <w:proofErr w:type="spellStart"/>
      <w:r w:rsidRPr="00122FD4">
        <w:rPr>
          <w:rFonts w:eastAsia="Andale Sans UI" w:cs="Tahoma"/>
          <w:sz w:val="32"/>
          <w:szCs w:val="28"/>
          <w:lang w:bidi="en-US"/>
        </w:rPr>
        <w:t>Forschungsprojekt</w:t>
      </w:r>
      <w:proofErr w:type="spellEnd"/>
      <w:r w:rsidRPr="00122FD4">
        <w:rPr>
          <w:rFonts w:eastAsia="Andale Sans UI" w:cs="Tahoma"/>
          <w:sz w:val="32"/>
          <w:szCs w:val="28"/>
          <w:lang w:bidi="en-US"/>
        </w:rPr>
        <w:t xml:space="preserve"> </w:t>
      </w:r>
      <w:proofErr w:type="spellStart"/>
      <w:r w:rsidRPr="00122FD4">
        <w:rPr>
          <w:rFonts w:eastAsia="Andale Sans UI" w:cs="Tahoma"/>
          <w:sz w:val="32"/>
          <w:szCs w:val="28"/>
          <w:lang w:bidi="en-US"/>
        </w:rPr>
        <w:t>Informatik</w:t>
      </w:r>
      <w:proofErr w:type="spellEnd"/>
      <w:r w:rsidRPr="00122FD4">
        <w:rPr>
          <w:rFonts w:eastAsia="Andale Sans UI" w:cs="Tahoma"/>
          <w:sz w:val="32"/>
          <w:szCs w:val="28"/>
          <w:lang w:bidi="en-US"/>
        </w:rPr>
        <w:t>)</w:t>
      </w:r>
    </w:p>
    <w:p w14:paraId="1C56F1FC" w14:textId="77777777" w:rsidR="00122FD4" w:rsidRPr="00122FD4" w:rsidRDefault="00122FD4" w:rsidP="00122FD4">
      <w:pPr>
        <w:pStyle w:val="BodyText"/>
        <w:jc w:val="center"/>
        <w:rPr>
          <w:sz w:val="20"/>
          <w:szCs w:val="18"/>
          <w:lang w:bidi="en-US"/>
        </w:rPr>
      </w:pPr>
    </w:p>
    <w:p w14:paraId="3E78BB65" w14:textId="56E080E9" w:rsidR="00F80F25" w:rsidRPr="00BC387B" w:rsidRDefault="00C36B22" w:rsidP="00641E19">
      <w:pPr>
        <w:pStyle w:val="Heading1"/>
        <w:jc w:val="both"/>
        <w:rPr>
          <w:lang w:val="en-US"/>
        </w:rPr>
      </w:pPr>
      <w:r w:rsidRPr="00BC387B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C387B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C387B" w:rsidRDefault="00C36B22" w:rsidP="00641E19">
            <w:pPr>
              <w:pStyle w:val="Tabelleninhalt"/>
              <w:jc w:val="both"/>
              <w:rPr>
                <w:lang w:val="en-US"/>
              </w:rPr>
            </w:pPr>
            <w:r w:rsidRPr="00BC387B">
              <w:rPr>
                <w:lang w:val="en-US"/>
              </w:rPr>
              <w:t>Examiner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C387B" w:rsidRDefault="00F80F25" w:rsidP="00641E19">
            <w:pPr>
              <w:pStyle w:val="Tabelleninhalt"/>
              <w:jc w:val="both"/>
              <w:rPr>
                <w:lang w:val="en-US"/>
              </w:rPr>
            </w:pPr>
            <w:r w:rsidRPr="00BC387B">
              <w:rPr>
                <w:lang w:val="en-US"/>
              </w:rPr>
              <w:t>Prof. Dr. Stefan Wagner</w:t>
            </w:r>
          </w:p>
        </w:tc>
      </w:tr>
      <w:tr w:rsidR="00F80F25" w:rsidRPr="00BC387B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C387B" w:rsidRDefault="00C36B22" w:rsidP="00641E19">
            <w:pPr>
              <w:pStyle w:val="Tabelleninhalt"/>
              <w:jc w:val="both"/>
              <w:rPr>
                <w:lang w:val="en-US"/>
              </w:rPr>
            </w:pPr>
            <w:r w:rsidRPr="00BC387B">
              <w:rPr>
                <w:lang w:val="en-US"/>
              </w:rPr>
              <w:t>Supervisor</w:t>
            </w:r>
            <w:r w:rsidR="00662FF8" w:rsidRPr="00BC387B">
              <w:rPr>
                <w:lang w:val="en-US"/>
              </w:rPr>
              <w:t>s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7E84BC57" w:rsidR="00F80F25" w:rsidRPr="00BC387B" w:rsidRDefault="00DF2708" w:rsidP="00641E19">
            <w:pPr>
              <w:pStyle w:val="Tabelleninhalt"/>
              <w:jc w:val="both"/>
              <w:rPr>
                <w:lang w:val="en-US"/>
              </w:rPr>
            </w:pPr>
            <w:r w:rsidRPr="00BC387B">
              <w:rPr>
                <w:lang w:val="en-US"/>
              </w:rPr>
              <w:t xml:space="preserve">Dr. </w:t>
            </w:r>
            <w:r w:rsidR="007A6088" w:rsidRPr="00BC387B">
              <w:rPr>
                <w:lang w:val="en-US"/>
              </w:rPr>
              <w:t>Justus Bogner</w:t>
            </w:r>
          </w:p>
        </w:tc>
      </w:tr>
      <w:tr w:rsidR="008319EE" w:rsidRPr="00BC387B" w14:paraId="2DB0CF94" w14:textId="77777777" w:rsidTr="009B371F">
        <w:tc>
          <w:tcPr>
            <w:tcW w:w="3066" w:type="dxa"/>
            <w:shd w:val="clear" w:color="auto" w:fill="auto"/>
          </w:tcPr>
          <w:p w14:paraId="13F08112" w14:textId="4E8E14A8" w:rsidR="008319EE" w:rsidRPr="00BC387B" w:rsidRDefault="008319EE" w:rsidP="00641E19">
            <w:pPr>
              <w:pStyle w:val="Tabelleninhalt"/>
              <w:jc w:val="both"/>
              <w:rPr>
                <w:lang w:val="en-US"/>
              </w:rPr>
            </w:pPr>
            <w:r w:rsidRPr="00BC387B">
              <w:rPr>
                <w:lang w:val="en-US"/>
              </w:rPr>
              <w:t>Student</w:t>
            </w:r>
            <w:r w:rsidR="00122FD4">
              <w:rPr>
                <w:lang w:val="en-US"/>
              </w:rPr>
              <w:t>s</w:t>
            </w:r>
            <w:r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0C943B3A" w14:textId="453A4972" w:rsidR="008319EE" w:rsidRPr="00BC387B" w:rsidRDefault="008319EE" w:rsidP="00641E19">
            <w:pPr>
              <w:pStyle w:val="Tabelleninhalt"/>
              <w:jc w:val="both"/>
              <w:rPr>
                <w:lang w:val="en-US"/>
              </w:rPr>
            </w:pPr>
          </w:p>
        </w:tc>
      </w:tr>
      <w:tr w:rsidR="00F80F25" w:rsidRPr="00BC387B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C387B" w:rsidRDefault="00C36B22" w:rsidP="00641E19">
            <w:pPr>
              <w:pStyle w:val="Tabelleninhalt"/>
              <w:jc w:val="both"/>
              <w:rPr>
                <w:lang w:val="en-US"/>
              </w:rPr>
            </w:pPr>
            <w:r w:rsidRPr="00BC387B">
              <w:rPr>
                <w:lang w:val="en-US"/>
              </w:rPr>
              <w:t>Timeframe</w:t>
            </w:r>
            <w:r w:rsidR="00F80F25" w:rsidRPr="00BC387B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5C979CD0" w:rsidR="00F80F25" w:rsidRPr="00BC387B" w:rsidRDefault="00F80F25" w:rsidP="00641E19">
            <w:pPr>
              <w:pStyle w:val="Tabelleninhalt"/>
              <w:jc w:val="both"/>
              <w:rPr>
                <w:rFonts w:cs="Open Sans"/>
                <w:lang w:val="en-US"/>
              </w:rPr>
            </w:pPr>
            <w:r w:rsidRPr="00BC387B">
              <w:rPr>
                <w:rFonts w:cs="Open Sans"/>
                <w:lang w:val="en-US"/>
              </w:rPr>
              <w:t>2020-</w:t>
            </w:r>
            <w:r w:rsidR="00C36B22" w:rsidRPr="00BC387B">
              <w:rPr>
                <w:rFonts w:cs="Open Sans"/>
                <w:lang w:val="en-US"/>
              </w:rPr>
              <w:t>1</w:t>
            </w:r>
            <w:r w:rsidR="00122FD4">
              <w:rPr>
                <w:rFonts w:cs="Open Sans"/>
                <w:lang w:val="en-US"/>
              </w:rPr>
              <w:t>0</w:t>
            </w:r>
            <w:r w:rsidRPr="00BC387B">
              <w:rPr>
                <w:rFonts w:cs="Open Sans"/>
                <w:lang w:val="en-US"/>
              </w:rPr>
              <w:t>-</w:t>
            </w:r>
            <w:r w:rsidR="00122FD4">
              <w:rPr>
                <w:rFonts w:cs="Open Sans"/>
                <w:lang w:val="en-US"/>
              </w:rPr>
              <w:t>16</w:t>
            </w:r>
            <w:r w:rsidRPr="00BC387B">
              <w:rPr>
                <w:rFonts w:cs="Open Sans"/>
                <w:lang w:val="en-US"/>
              </w:rPr>
              <w:t xml:space="preserve"> – 202</w:t>
            </w:r>
            <w:r w:rsidR="00662FF8" w:rsidRPr="00BC387B">
              <w:rPr>
                <w:rFonts w:cs="Open Sans"/>
                <w:lang w:val="en-US"/>
              </w:rPr>
              <w:t>1</w:t>
            </w:r>
            <w:r w:rsidRPr="00BC387B">
              <w:rPr>
                <w:rFonts w:cs="Open Sans"/>
                <w:lang w:val="en-US"/>
              </w:rPr>
              <w:t>-0</w:t>
            </w:r>
            <w:r w:rsidR="00122FD4">
              <w:rPr>
                <w:rFonts w:cs="Open Sans"/>
                <w:lang w:val="en-US"/>
              </w:rPr>
              <w:t>4</w:t>
            </w:r>
            <w:r w:rsidRPr="00BC387B">
              <w:rPr>
                <w:rFonts w:cs="Open Sans"/>
                <w:lang w:val="en-US"/>
              </w:rPr>
              <w:t>-</w:t>
            </w:r>
            <w:r w:rsidR="00122FD4">
              <w:rPr>
                <w:rFonts w:cs="Open Sans"/>
                <w:lang w:val="en-US"/>
              </w:rPr>
              <w:t>16</w:t>
            </w:r>
          </w:p>
          <w:p w14:paraId="32B8180D" w14:textId="77777777" w:rsidR="00F80F25" w:rsidRPr="00BC387B" w:rsidRDefault="00F80F25" w:rsidP="00641E19">
            <w:pPr>
              <w:pStyle w:val="Tabelleninhalt"/>
              <w:jc w:val="both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Pr="00BC387B" w:rsidRDefault="00C36B22" w:rsidP="00641E19">
      <w:pPr>
        <w:pStyle w:val="Heading1"/>
        <w:jc w:val="both"/>
        <w:rPr>
          <w:lang w:val="en-US"/>
        </w:rPr>
      </w:pPr>
      <w:r w:rsidRPr="00BC387B">
        <w:rPr>
          <w:lang w:val="en-US"/>
        </w:rPr>
        <w:t>Context &amp; Motivation</w:t>
      </w:r>
    </w:p>
    <w:p w14:paraId="3113FA76" w14:textId="271EE53D" w:rsidR="00601C92" w:rsidRDefault="00122FD4" w:rsidP="00641E19">
      <w:pPr>
        <w:pStyle w:val="BodyText"/>
        <w:jc w:val="both"/>
        <w:rPr>
          <w:lang w:bidi="en-US"/>
        </w:rPr>
      </w:pPr>
      <w:r>
        <w:rPr>
          <w:lang w:bidi="en-US"/>
        </w:rPr>
        <w:t>While software architecture is often focused on structural elements of a system</w:t>
      </w:r>
      <w:r w:rsidR="00601C92">
        <w:rPr>
          <w:lang w:bidi="en-US"/>
        </w:rPr>
        <w:t xml:space="preserve"> [1]</w:t>
      </w:r>
      <w:r>
        <w:rPr>
          <w:lang w:bidi="en-US"/>
        </w:rPr>
        <w:t xml:space="preserve">, there are also definitions that place </w:t>
      </w:r>
      <w:r w:rsidRPr="00122FD4">
        <w:rPr>
          <w:i/>
          <w:iCs/>
          <w:lang w:bidi="en-US"/>
        </w:rPr>
        <w:t>decisions</w:t>
      </w:r>
      <w:r>
        <w:rPr>
          <w:lang w:bidi="en-US"/>
        </w:rPr>
        <w:t xml:space="preserve"> at the center of architecture [</w:t>
      </w:r>
      <w:r w:rsidR="00601C92">
        <w:rPr>
          <w:lang w:bidi="en-US"/>
        </w:rPr>
        <w:t>2</w:t>
      </w:r>
      <w:r>
        <w:rPr>
          <w:lang w:bidi="en-US"/>
        </w:rPr>
        <w:t>]. In this context, a</w:t>
      </w:r>
      <w:r w:rsidRPr="00122FD4">
        <w:rPr>
          <w:lang w:bidi="en-US"/>
        </w:rPr>
        <w:t xml:space="preserve">n </w:t>
      </w:r>
      <w:r>
        <w:rPr>
          <w:lang w:bidi="en-US"/>
        </w:rPr>
        <w:t>a</w:t>
      </w:r>
      <w:r w:rsidRPr="00122FD4">
        <w:rPr>
          <w:lang w:bidi="en-US"/>
        </w:rPr>
        <w:t xml:space="preserve">rchitectural </w:t>
      </w:r>
      <w:r>
        <w:rPr>
          <w:lang w:bidi="en-US"/>
        </w:rPr>
        <w:t>d</w:t>
      </w:r>
      <w:r w:rsidRPr="00122FD4">
        <w:rPr>
          <w:lang w:bidi="en-US"/>
        </w:rPr>
        <w:t xml:space="preserve">ecision is a software design choice that addresses a functional or non-functional requirement that is architecturally significant. </w:t>
      </w:r>
      <w:r w:rsidR="00601C92">
        <w:rPr>
          <w:lang w:bidi="en-US"/>
        </w:rPr>
        <w:t>Decisions are documented as architectural decisions records (ADRs) [3] and contain additional elements like the rationale or considered alternatives. To store them close to the source code, ADRs are usually created in structured text formats like Markdown [4].</w:t>
      </w:r>
    </w:p>
    <w:p w14:paraId="4BE3BA11" w14:textId="627162B3" w:rsidR="00CF6A16" w:rsidRPr="00BC387B" w:rsidRDefault="00601C92" w:rsidP="00641E19">
      <w:pPr>
        <w:pStyle w:val="BodyText"/>
        <w:jc w:val="both"/>
        <w:rPr>
          <w:lang w:bidi="en-US"/>
        </w:rPr>
      </w:pPr>
      <w:r>
        <w:rPr>
          <w:lang w:bidi="en-US"/>
        </w:rPr>
        <w:t xml:space="preserve">However, due to the lack of convenient tool support, the efficient creation, browsing, </w:t>
      </w:r>
      <w:r w:rsidR="00641E19">
        <w:rPr>
          <w:lang w:bidi="en-US"/>
        </w:rPr>
        <w:t xml:space="preserve">or analysis </w:t>
      </w:r>
      <w:r>
        <w:rPr>
          <w:lang w:bidi="en-US"/>
        </w:rPr>
        <w:t>of ADRs is currently not feasible. A graphical user interface</w:t>
      </w:r>
      <w:r w:rsidR="00641E19">
        <w:rPr>
          <w:lang w:bidi="en-US"/>
        </w:rPr>
        <w:t xml:space="preserve"> (GUI)</w:t>
      </w:r>
      <w:r>
        <w:rPr>
          <w:lang w:bidi="en-US"/>
        </w:rPr>
        <w:t xml:space="preserve"> would </w:t>
      </w:r>
      <w:r w:rsidR="00641E19">
        <w:rPr>
          <w:lang w:bidi="en-US"/>
        </w:rPr>
        <w:t>add significant value for managing ADRs and likely increase industrial adoption of this technique.</w:t>
      </w:r>
    </w:p>
    <w:p w14:paraId="789BDDB7" w14:textId="55531ADE" w:rsidR="00EE2401" w:rsidRPr="00BC387B" w:rsidRDefault="00C36B22" w:rsidP="00641E19">
      <w:pPr>
        <w:pStyle w:val="Heading1"/>
        <w:jc w:val="both"/>
        <w:rPr>
          <w:lang w:val="en-US"/>
        </w:rPr>
      </w:pPr>
      <w:r w:rsidRPr="00BC387B">
        <w:rPr>
          <w:lang w:val="en-US"/>
        </w:rPr>
        <w:t>Objectives</w:t>
      </w:r>
    </w:p>
    <w:p w14:paraId="269FEDAC" w14:textId="46D24570" w:rsidR="00641E19" w:rsidRPr="00BC387B" w:rsidRDefault="00641E19" w:rsidP="00641E19">
      <w:pPr>
        <w:pStyle w:val="BodyText"/>
        <w:jc w:val="both"/>
        <w:rPr>
          <w:lang w:bidi="en-US"/>
        </w:rPr>
      </w:pPr>
      <w:r>
        <w:rPr>
          <w:lang w:bidi="en-US"/>
        </w:rPr>
        <w:t>The goal of this research project is therefore to analyze challenges</w:t>
      </w:r>
      <w:r w:rsidR="008B74AB">
        <w:rPr>
          <w:lang w:bidi="en-US"/>
        </w:rPr>
        <w:t xml:space="preserve"> and</w:t>
      </w:r>
      <w:r>
        <w:rPr>
          <w:lang w:bidi="en-US"/>
        </w:rPr>
        <w:t xml:space="preserve"> detailed requirements in the context of creating and managing ADRs. Based on this analysis, a tool supported approach with a GUI should be designed and implemented. The final tool support should then be evaluated with respect to functional suitability</w:t>
      </w:r>
      <w:r w:rsidR="008B490F">
        <w:rPr>
          <w:lang w:bidi="en-US"/>
        </w:rPr>
        <w:t xml:space="preserve"> and usability [5] (similar to perceived usefulness and perceived ease of use in the technology acceptance model </w:t>
      </w:r>
      <w:r>
        <w:rPr>
          <w:lang w:bidi="en-US"/>
        </w:rPr>
        <w:t>[</w:t>
      </w:r>
      <w:r w:rsidR="008B490F">
        <w:rPr>
          <w:lang w:bidi="en-US"/>
        </w:rPr>
        <w:t>6</w:t>
      </w:r>
      <w:r>
        <w:rPr>
          <w:lang w:bidi="en-US"/>
        </w:rPr>
        <w:t>]</w:t>
      </w:r>
      <w:r w:rsidR="008B490F">
        <w:rPr>
          <w:lang w:bidi="en-US"/>
        </w:rPr>
        <w:t>). Lastly</w:t>
      </w:r>
      <w:r>
        <w:rPr>
          <w:lang w:bidi="en-US"/>
        </w:rPr>
        <w:t xml:space="preserve">, it is also </w:t>
      </w:r>
      <w:r>
        <w:rPr>
          <w:lang w:bidi="en-US"/>
        </w:rPr>
        <w:lastRenderedPageBreak/>
        <w:t>possible - albeit not mandatory - to submit the results to the ICSE SCORE competition [</w:t>
      </w:r>
      <w:r w:rsidR="008B490F">
        <w:rPr>
          <w:lang w:bidi="en-US"/>
        </w:rPr>
        <w:t>7</w:t>
      </w:r>
      <w:r>
        <w:rPr>
          <w:lang w:bidi="en-US"/>
        </w:rPr>
        <w:t>].</w:t>
      </w:r>
    </w:p>
    <w:p w14:paraId="355B46EA" w14:textId="178BC327" w:rsidR="00C36B22" w:rsidRPr="00BC387B" w:rsidRDefault="00C36B22" w:rsidP="00641E19">
      <w:pPr>
        <w:pStyle w:val="Heading1"/>
        <w:jc w:val="both"/>
        <w:rPr>
          <w:lang w:val="en-US"/>
        </w:rPr>
      </w:pPr>
      <w:r w:rsidRPr="00BC387B">
        <w:rPr>
          <w:lang w:val="en-US"/>
        </w:rPr>
        <w:t>Methods</w:t>
      </w:r>
    </w:p>
    <w:p w14:paraId="52FC3DE8" w14:textId="25442DA7" w:rsidR="00645E22" w:rsidRPr="00BC387B" w:rsidRDefault="008928EF" w:rsidP="008928EF">
      <w:pPr>
        <w:pStyle w:val="BodyText"/>
        <w:jc w:val="both"/>
        <w:rPr>
          <w:lang w:bidi="en-US"/>
        </w:rPr>
      </w:pPr>
      <w:r>
        <w:rPr>
          <w:lang w:bidi="en-US"/>
        </w:rPr>
        <w:t xml:space="preserve">The elicitation of challenges and requirements should start with the </w:t>
      </w:r>
      <w:r w:rsidR="00343B4A">
        <w:rPr>
          <w:lang w:bidi="en-US"/>
        </w:rPr>
        <w:t>supervisor</w:t>
      </w:r>
      <w:r w:rsidR="0085258F">
        <w:rPr>
          <w:lang w:bidi="en-US"/>
        </w:rPr>
        <w:t>s</w:t>
      </w:r>
      <w:r w:rsidR="00343B4A">
        <w:rPr>
          <w:lang w:bidi="en-US"/>
        </w:rPr>
        <w:t xml:space="preserve"> but</w:t>
      </w:r>
      <w:r>
        <w:rPr>
          <w:lang w:bidi="en-US"/>
        </w:rPr>
        <w:t xml:space="preserve"> can also include literature or even broader interviews [8]. To design and develop the approach, some form of (rapid) prototyping could be feasible [9, 10], potentially even with an approach specific to user interfaces [11]. For the evaluation, a think-aloud study [12], dialog-based study [13], or some other form of field study data collection [14] could be used. An alternative may be a small-scale experiment [15]. </w:t>
      </w:r>
      <w:r w:rsidR="00682F1F">
        <w:rPr>
          <w:lang w:bidi="en-US"/>
        </w:rPr>
        <w:t>The detailed study design should be developed by the student</w:t>
      </w:r>
      <w:r>
        <w:rPr>
          <w:lang w:bidi="en-US"/>
        </w:rPr>
        <w:t>s</w:t>
      </w:r>
      <w:r w:rsidR="00682F1F">
        <w:rPr>
          <w:lang w:bidi="en-US"/>
        </w:rPr>
        <w:t>.</w:t>
      </w:r>
    </w:p>
    <w:p w14:paraId="5EA204E4" w14:textId="4EB22344" w:rsidR="00F80F25" w:rsidRDefault="00C36B22" w:rsidP="00F80F25">
      <w:pPr>
        <w:pStyle w:val="Heading1"/>
        <w:rPr>
          <w:lang w:val="en-US"/>
        </w:rPr>
      </w:pPr>
      <w:r w:rsidRPr="00BC387B">
        <w:rPr>
          <w:lang w:val="en-US"/>
        </w:rPr>
        <w:t>References</w:t>
      </w:r>
    </w:p>
    <w:p w14:paraId="51BDF50A" w14:textId="7BC5A2BE" w:rsidR="00601C92" w:rsidRDefault="00601C92" w:rsidP="00122FD4">
      <w:pPr>
        <w:tabs>
          <w:tab w:val="left" w:pos="2640"/>
        </w:tabs>
      </w:pPr>
      <w:r>
        <w:t xml:space="preserve">[1] L. Bass, P. Clements, and R. </w:t>
      </w:r>
      <w:proofErr w:type="spellStart"/>
      <w:r>
        <w:t>Kazman</w:t>
      </w:r>
      <w:proofErr w:type="spellEnd"/>
      <w:r>
        <w:t xml:space="preserve">, </w:t>
      </w:r>
      <w:r w:rsidRPr="008B490F">
        <w:t>Software Architecture in Practice</w:t>
      </w:r>
      <w:r>
        <w:t>, 3rd ed. Westford, MA, USA: Addison-Wesley Professional, 2012.</w:t>
      </w:r>
    </w:p>
    <w:p w14:paraId="22FFD09B" w14:textId="12B80E4A" w:rsidR="00122FD4" w:rsidRDefault="00122FD4" w:rsidP="00122FD4">
      <w:pPr>
        <w:tabs>
          <w:tab w:val="left" w:pos="2640"/>
        </w:tabs>
      </w:pPr>
      <w:r>
        <w:t>[</w:t>
      </w:r>
      <w:r w:rsidR="00601C92">
        <w:t>2</w:t>
      </w:r>
      <w:r>
        <w:t xml:space="preserve">] A. Jansen and J. Bosch, “Software Architecture as a Set of Architectural Design Decisions,” in </w:t>
      </w:r>
      <w:r w:rsidRPr="008B490F">
        <w:t>5th Working IEEE/IFIP Conference on Software Architecture (WICSA’05)</w:t>
      </w:r>
      <w:r>
        <w:t>, 2005, pp. 109–120.</w:t>
      </w:r>
    </w:p>
    <w:p w14:paraId="30C22542" w14:textId="043D3C73" w:rsidR="00601C92" w:rsidRDefault="00601C92" w:rsidP="00122FD4">
      <w:pPr>
        <w:tabs>
          <w:tab w:val="left" w:pos="2640"/>
        </w:tabs>
      </w:pPr>
      <w:r>
        <w:t xml:space="preserve">[3] </w:t>
      </w:r>
      <w:hyperlink r:id="rId8" w:history="1">
        <w:r w:rsidRPr="00923A9E">
          <w:rPr>
            <w:rStyle w:val="Hyperlink"/>
          </w:rPr>
          <w:t>https://adr.github.io</w:t>
        </w:r>
      </w:hyperlink>
    </w:p>
    <w:p w14:paraId="63385141" w14:textId="0120BD27" w:rsidR="00601C92" w:rsidRDefault="00601C92" w:rsidP="00BC37C8">
      <w:pPr>
        <w:tabs>
          <w:tab w:val="left" w:pos="2640"/>
        </w:tabs>
      </w:pPr>
      <w:r>
        <w:t xml:space="preserve">[4] </w:t>
      </w:r>
      <w:r w:rsidR="00BC37C8">
        <w:t>O. Kopp, A. Armbruster, O. Zimmermann “Markdown Architectural Decision Records: Format and Tool Support,” ZEUS, 2018, p. 55-62</w:t>
      </w:r>
    </w:p>
    <w:p w14:paraId="5983F3BD" w14:textId="58154F39" w:rsidR="00641E19" w:rsidRDefault="00641E19" w:rsidP="00122FD4">
      <w:pPr>
        <w:tabs>
          <w:tab w:val="left" w:pos="2640"/>
        </w:tabs>
      </w:pPr>
      <w:r>
        <w:t>[</w:t>
      </w:r>
      <w:r w:rsidR="008B490F">
        <w:t>5</w:t>
      </w:r>
      <w:r>
        <w:t>] International Organization For Standardization, “ISO/IEC 25010 - Systems and software engineering - Systems and software Quality Requirements and Evaluation (</w:t>
      </w:r>
      <w:proofErr w:type="spellStart"/>
      <w:r>
        <w:t>SQuaRE</w:t>
      </w:r>
      <w:proofErr w:type="spellEnd"/>
      <w:r>
        <w:t xml:space="preserve">) - System and software quality models,” </w:t>
      </w:r>
      <w:r>
        <w:rPr>
          <w:i/>
          <w:iCs/>
        </w:rPr>
        <w:t>System and software quality models</w:t>
      </w:r>
      <w:r>
        <w:t xml:space="preserve">, </w:t>
      </w:r>
      <w:hyperlink r:id="rId9" w:history="1">
        <w:r w:rsidR="008B490F" w:rsidRPr="00923A9E">
          <w:rPr>
            <w:rStyle w:val="Hyperlink"/>
          </w:rPr>
          <w:t>https://iso25000.com/index.php/en/iso-25000-standards/iso-25010</w:t>
        </w:r>
      </w:hyperlink>
      <w:r>
        <w:t>, 2011.</w:t>
      </w:r>
    </w:p>
    <w:p w14:paraId="133B3484" w14:textId="742EE322" w:rsidR="008B490F" w:rsidRDefault="008B490F" w:rsidP="00122FD4">
      <w:pPr>
        <w:tabs>
          <w:tab w:val="left" w:pos="2640"/>
        </w:tabs>
      </w:pPr>
      <w:r>
        <w:t xml:space="preserve">[6] F. D. Davis, “Perceived Usefulness, Perceived Ease of Use, and User Acceptance of Information Technology,” </w:t>
      </w:r>
      <w:r>
        <w:rPr>
          <w:i/>
          <w:iCs/>
        </w:rPr>
        <w:t>MIS Q.</w:t>
      </w:r>
      <w:r>
        <w:t>, vol. 13, no. 3, p. 319, Sep. 1989.</w:t>
      </w:r>
    </w:p>
    <w:p w14:paraId="314F585C" w14:textId="35DC2192" w:rsidR="008B490F" w:rsidRDefault="008B490F" w:rsidP="008B490F">
      <w:pPr>
        <w:tabs>
          <w:tab w:val="left" w:pos="2640"/>
        </w:tabs>
      </w:pPr>
      <w:r>
        <w:t xml:space="preserve">[7] </w:t>
      </w:r>
      <w:hyperlink r:id="rId10" w:anchor="adr-manager-the-software-architects-favorite-tool" w:history="1">
        <w:r w:rsidRPr="00923A9E">
          <w:rPr>
            <w:rStyle w:val="Hyperlink"/>
          </w:rPr>
          <w:t>https://conf.researchr.org/home/icse-2021/score-2021#adr-manager-the-software-architects-favorite-tool</w:t>
        </w:r>
      </w:hyperlink>
    </w:p>
    <w:p w14:paraId="5900B900" w14:textId="23FB580E" w:rsidR="008928EF" w:rsidRDefault="008928EF" w:rsidP="008B490F">
      <w:pPr>
        <w:tabs>
          <w:tab w:val="left" w:pos="2640"/>
        </w:tabs>
      </w:pPr>
      <w:r w:rsidRPr="008928EF">
        <w:t>[</w:t>
      </w:r>
      <w:r>
        <w:t>8</w:t>
      </w:r>
      <w:r w:rsidRPr="008928EF">
        <w:t>] S. E. Hove and B. Anda, “Experiences from Conducting Semi-structured Interviews in Empirical Software Engineering Research,” in 11th IEEE International Software Metrics Symposium (METRICS’05), 2005, no. Metrics, pp. 23–23.</w:t>
      </w:r>
    </w:p>
    <w:p w14:paraId="5B8F891D" w14:textId="1BB8875D" w:rsidR="008928EF" w:rsidRDefault="008928EF" w:rsidP="008B490F">
      <w:pPr>
        <w:tabs>
          <w:tab w:val="left" w:pos="2640"/>
        </w:tabs>
      </w:pPr>
      <w:r>
        <w:lastRenderedPageBreak/>
        <w:t>[9] J. D. Naumann and A. M. Jenkins, “Prototyping: The New Paradigm for Systems Development,” MIS Q., vol. 6, no. 3, p. 29, Sep. 1982.</w:t>
      </w:r>
    </w:p>
    <w:p w14:paraId="0B0F1C06" w14:textId="510DB12D" w:rsidR="008B490F" w:rsidRDefault="008B490F" w:rsidP="008B490F">
      <w:pPr>
        <w:tabs>
          <w:tab w:val="left" w:pos="2640"/>
        </w:tabs>
      </w:pPr>
      <w:r>
        <w:t>[</w:t>
      </w:r>
      <w:r w:rsidR="008928EF">
        <w:t>10</w:t>
      </w:r>
      <w:r>
        <w:t>] N. M. Devadiga, “Tailoring architecture centric design method with rapid prototyping,” in 2017 2nd International Conference on Communication and Electronics Systems (ICCES), 2017, pp. 924–930.</w:t>
      </w:r>
    </w:p>
    <w:p w14:paraId="3637A2D8" w14:textId="103787F6" w:rsidR="008928EF" w:rsidRDefault="008B490F" w:rsidP="008928EF">
      <w:pPr>
        <w:tabs>
          <w:tab w:val="left" w:pos="2640"/>
        </w:tabs>
      </w:pPr>
      <w:r>
        <w:t>[</w:t>
      </w:r>
      <w:r w:rsidR="008928EF">
        <w:t>11</w:t>
      </w:r>
      <w:r>
        <w:t xml:space="preserve">] D. </w:t>
      </w:r>
      <w:proofErr w:type="spellStart"/>
      <w:r>
        <w:t>Baumer</w:t>
      </w:r>
      <w:proofErr w:type="spellEnd"/>
      <w:r>
        <w:t xml:space="preserve">, W. Bischofberger, H. Lichter, and H. </w:t>
      </w:r>
      <w:proofErr w:type="spellStart"/>
      <w:r>
        <w:t>Zullighoven</w:t>
      </w:r>
      <w:proofErr w:type="spellEnd"/>
      <w:r>
        <w:t>, “User interface prototyping-concepts, tools, and experience,” in Proceedings of IEEE 18th International Conference on Software Engineering, 1996, pp. 532–541.</w:t>
      </w:r>
    </w:p>
    <w:p w14:paraId="1D15E785" w14:textId="7A597660" w:rsidR="008928EF" w:rsidRDefault="008928EF" w:rsidP="008928EF">
      <w:pPr>
        <w:tabs>
          <w:tab w:val="left" w:pos="2640"/>
        </w:tabs>
      </w:pPr>
      <w:r>
        <w:t xml:space="preserve">[12] T. Boren and J. Ramey, “Thinking aloud: reconciling theory and practice,” IEEE Trans. Prof. </w:t>
      </w:r>
      <w:proofErr w:type="spellStart"/>
      <w:r>
        <w:t>Commun</w:t>
      </w:r>
      <w:proofErr w:type="spellEnd"/>
      <w:r>
        <w:t>., vol. 43, no. 3, pp. 261–278, 2000.</w:t>
      </w:r>
    </w:p>
    <w:p w14:paraId="5BBB869C" w14:textId="18AFACCE" w:rsidR="008928EF" w:rsidRDefault="008928EF" w:rsidP="008928EF">
      <w:pPr>
        <w:tabs>
          <w:tab w:val="left" w:pos="2640"/>
        </w:tabs>
      </w:pPr>
      <w:r>
        <w:t xml:space="preserve">[13] </w:t>
      </w:r>
      <w:proofErr w:type="spellStart"/>
      <w:r>
        <w:t>Shaochun</w:t>
      </w:r>
      <w:proofErr w:type="spellEnd"/>
      <w:r>
        <w:t xml:space="preserve"> Xu and V. </w:t>
      </w:r>
      <w:proofErr w:type="spellStart"/>
      <w:r>
        <w:t>Rajlich</w:t>
      </w:r>
      <w:proofErr w:type="spellEnd"/>
      <w:r>
        <w:t>, “Dialog-based protocol: an empirical research method for cognitive activities in software engineering,” in 2005 International Symposium on Empirical Software Engineering, 2005, pp. 383–392.</w:t>
      </w:r>
    </w:p>
    <w:p w14:paraId="74E89AF3" w14:textId="280D50F1" w:rsidR="008928EF" w:rsidRDefault="008928EF" w:rsidP="008928EF">
      <w:pPr>
        <w:tabs>
          <w:tab w:val="left" w:pos="2640"/>
        </w:tabs>
      </w:pPr>
      <w:r>
        <w:t>[14] J. Singer, S. E. Sim, and T. C. Lethbridge, “Software Engineering Data Collection for Field Studies,” in Guide to Advanced Empirical Software Engineering, London: Springer London, 2008, pp. 9–34.</w:t>
      </w:r>
    </w:p>
    <w:p w14:paraId="0629AD0A" w14:textId="733A1C0D" w:rsidR="00122FD4" w:rsidRPr="008928EF" w:rsidRDefault="008928EF" w:rsidP="00122FD4">
      <w:pPr>
        <w:tabs>
          <w:tab w:val="left" w:pos="2640"/>
        </w:tabs>
      </w:pPr>
      <w:r>
        <w:t xml:space="preserve">[15] A. J. Ko, T. D. LaToza, and M. M. Burnett, “A practical guide to controlled experiments of software engineering tools with human participants,” </w:t>
      </w:r>
      <w:proofErr w:type="spellStart"/>
      <w:r w:rsidRPr="008928EF">
        <w:t>Empir</w:t>
      </w:r>
      <w:proofErr w:type="spellEnd"/>
      <w:r w:rsidRPr="008928EF">
        <w:t xml:space="preserve">. </w:t>
      </w:r>
      <w:proofErr w:type="spellStart"/>
      <w:r w:rsidRPr="008928EF">
        <w:t>Softw</w:t>
      </w:r>
      <w:proofErr w:type="spellEnd"/>
      <w:r w:rsidRPr="008928EF">
        <w:t>. Eng.</w:t>
      </w:r>
      <w:r>
        <w:t>, vol. 20, no. 1, pp. 110–141, Feb. 2015.</w:t>
      </w:r>
    </w:p>
    <w:p w14:paraId="55854608" w14:textId="77777777" w:rsidR="00122FD4" w:rsidRPr="00122FD4" w:rsidRDefault="00122FD4" w:rsidP="00122FD4">
      <w:pPr>
        <w:rPr>
          <w:lang w:bidi="en-US"/>
        </w:rPr>
      </w:pPr>
    </w:p>
    <w:sectPr w:rsidR="00122FD4" w:rsidRPr="00122FD4" w:rsidSect="00F165A9">
      <w:headerReference w:type="default" r:id="rId11"/>
      <w:footerReference w:type="default" r:id="rId12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8FCD" w14:textId="77777777" w:rsidR="006B1935" w:rsidRDefault="006B1935" w:rsidP="008319EE">
      <w:pPr>
        <w:spacing w:after="0" w:line="240" w:lineRule="auto"/>
      </w:pPr>
      <w:r>
        <w:separator/>
      </w:r>
    </w:p>
  </w:endnote>
  <w:endnote w:type="continuationSeparator" w:id="0">
    <w:p w14:paraId="0F2BC59D" w14:textId="77777777" w:rsidR="006B1935" w:rsidRDefault="006B1935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proofErr w:type="spellStart"/>
    <w:r w:rsidR="00DF2708">
      <w:rPr>
        <w:sz w:val="22"/>
        <w:lang w:val="en-150"/>
      </w:rPr>
      <w:t>Dr.</w:t>
    </w:r>
    <w:proofErr w:type="spellEnd"/>
    <w:r w:rsidR="00DF2708">
      <w:rPr>
        <w:sz w:val="22"/>
        <w:lang w:val="en-150"/>
      </w:rPr>
      <w:t xml:space="preserve">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ooter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ooter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  <w:lang w:val="en-150"/>
      </w:rPr>
      <w:t>Engineering</w:t>
    </w:r>
    <w:r w:rsidRPr="008319EE">
      <w:rPr>
        <w:sz w:val="22"/>
      </w:rPr>
      <w:t xml:space="preserve">, </w:t>
    </w:r>
    <w:r w:rsidR="009941AB">
      <w:rPr>
        <w:sz w:val="22"/>
        <w:lang w:val="en-150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2462" w14:textId="77777777" w:rsidR="006B1935" w:rsidRDefault="006B1935" w:rsidP="008319EE">
      <w:pPr>
        <w:spacing w:after="0" w:line="240" w:lineRule="auto"/>
      </w:pPr>
      <w:r>
        <w:separator/>
      </w:r>
    </w:p>
  </w:footnote>
  <w:footnote w:type="continuationSeparator" w:id="0">
    <w:p w14:paraId="54C123E7" w14:textId="77777777" w:rsidR="006B1935" w:rsidRDefault="006B1935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113FED"/>
    <w:rsid w:val="00122FD4"/>
    <w:rsid w:val="00137DBD"/>
    <w:rsid w:val="001F5AE1"/>
    <w:rsid w:val="00236217"/>
    <w:rsid w:val="00237888"/>
    <w:rsid w:val="002473C1"/>
    <w:rsid w:val="002D7669"/>
    <w:rsid w:val="003026D1"/>
    <w:rsid w:val="00343B4A"/>
    <w:rsid w:val="003A5CE3"/>
    <w:rsid w:val="00412450"/>
    <w:rsid w:val="00416630"/>
    <w:rsid w:val="00466920"/>
    <w:rsid w:val="004E254C"/>
    <w:rsid w:val="0056503C"/>
    <w:rsid w:val="00593BE1"/>
    <w:rsid w:val="005A76C2"/>
    <w:rsid w:val="00600FBF"/>
    <w:rsid w:val="00601C92"/>
    <w:rsid w:val="0060305B"/>
    <w:rsid w:val="00641E19"/>
    <w:rsid w:val="00645E22"/>
    <w:rsid w:val="00662FF8"/>
    <w:rsid w:val="00682F1F"/>
    <w:rsid w:val="006B1935"/>
    <w:rsid w:val="006D2810"/>
    <w:rsid w:val="00703F22"/>
    <w:rsid w:val="007218E9"/>
    <w:rsid w:val="0072637B"/>
    <w:rsid w:val="007608B0"/>
    <w:rsid w:val="007A6088"/>
    <w:rsid w:val="00816239"/>
    <w:rsid w:val="008319EE"/>
    <w:rsid w:val="0085258F"/>
    <w:rsid w:val="008928EF"/>
    <w:rsid w:val="008B490F"/>
    <w:rsid w:val="008B74AB"/>
    <w:rsid w:val="009116FA"/>
    <w:rsid w:val="00925855"/>
    <w:rsid w:val="009941AB"/>
    <w:rsid w:val="00A67679"/>
    <w:rsid w:val="00A96539"/>
    <w:rsid w:val="00AA715F"/>
    <w:rsid w:val="00AD06D8"/>
    <w:rsid w:val="00B1796C"/>
    <w:rsid w:val="00B66C70"/>
    <w:rsid w:val="00B90057"/>
    <w:rsid w:val="00BC37C8"/>
    <w:rsid w:val="00BC387B"/>
    <w:rsid w:val="00BF3281"/>
    <w:rsid w:val="00C36B22"/>
    <w:rsid w:val="00C934A5"/>
    <w:rsid w:val="00CF6A16"/>
    <w:rsid w:val="00D2680D"/>
    <w:rsid w:val="00D37941"/>
    <w:rsid w:val="00DA6CF8"/>
    <w:rsid w:val="00DF2708"/>
    <w:rsid w:val="00E20F7B"/>
    <w:rsid w:val="00EE2401"/>
    <w:rsid w:val="00F165A9"/>
    <w:rsid w:val="00F80F25"/>
    <w:rsid w:val="00F87802"/>
    <w:rsid w:val="00FC7BB1"/>
    <w:rsid w:val="00FD16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2362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2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217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217"/>
    <w:rPr>
      <w:rFonts w:ascii="Open Sans" w:hAnsi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1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nf.researchr.org/home/icse-2021/score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o25000.com/index.php/en/iso-25000-standards/iso-2501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4F06-B542-439C-8D50-9B7819D3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27</cp:revision>
  <dcterms:created xsi:type="dcterms:W3CDTF">2020-01-17T12:47:00Z</dcterms:created>
  <dcterms:modified xsi:type="dcterms:W3CDTF">2022-01-27T16:24:00Z</dcterms:modified>
</cp:coreProperties>
</file>