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q8v5k3bdwcc6" w:id="0"/>
      <w:bookmarkEnd w:id="0"/>
      <w:r w:rsidDel="00000000" w:rsidR="00000000" w:rsidRPr="00000000">
        <w:rPr>
          <w:b w:val="1"/>
          <w:bCs w:val="1"/>
          <w:sz w:val="32"/>
          <w:szCs w:val="32"/>
          <w:rtl w:val="0"/>
        </w:rPr>
        <w:t xml:space="preserve">Brickline Motor Automotive Enterprise Data </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8v9n6nhm3qvk" w:id="1"/>
      <w:bookmarkEnd w:id="1"/>
      <w:r w:rsidDel="00000000" w:rsidR="00000000" w:rsidRPr="00000000">
        <w:rPr>
          <w:sz w:val="24"/>
          <w:szCs w:val="24"/>
          <w:rtl w:val="0"/>
        </w:rPr>
        <w:t xml:space="preserve">Brickline Motors currently operates with three disconnected systems:</w:t>
      </w:r>
    </w:p>
    <w:p w:rsidR="00000000" w:rsidDel="00000000" w:rsidP="00000000" w:rsidRDefault="00000000" w:rsidRPr="00000000" w14:paraId="0000000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Manufacturing </w:t>
      </w:r>
    </w:p>
    <w:p w:rsidR="00000000" w:rsidDel="00000000" w:rsidP="00000000" w:rsidRDefault="00000000" w:rsidRPr="00000000" w14:paraId="0000000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Dealer Network </w:t>
      </w:r>
    </w:p>
    <w:p w:rsidR="00000000" w:rsidDel="00000000" w:rsidP="00000000" w:rsidRDefault="00000000" w:rsidRPr="00000000" w14:paraId="0000000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Auto Parts E-Commerce </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Each domain with fragmented data ownership, inconsistent business definitions and limited enterprise visibility.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Today, it requires manual reconciliation across disconnected systems, spreadsheets, and siloed reporting environments for simple dashboards.</w:t>
      </w:r>
    </w:p>
    <w:p w:rsidR="00000000" w:rsidDel="00000000" w:rsidP="00000000" w:rsidRDefault="00000000" w:rsidRPr="00000000" w14:paraId="00000008">
      <w:pPr>
        <w:pStyle w:val="Heading1"/>
        <w:keepNext w:val="0"/>
        <w:keepLines w:val="0"/>
        <w:spacing w:before="480" w:lineRule="auto"/>
        <w:rPr>
          <w:b w:val="1"/>
          <w:bCs w:val="1"/>
          <w:sz w:val="32"/>
          <w:szCs w:val="32"/>
        </w:rPr>
      </w:pPr>
      <w:bookmarkStart w:colFirst="0" w:colLast="0" w:name="_3pt8nx10ue79" w:id="2"/>
      <w:bookmarkEnd w:id="2"/>
      <w:r w:rsidDel="00000000" w:rsidR="00000000" w:rsidRPr="00000000">
        <w:rPr>
          <w:b w:val="1"/>
          <w:bCs w:val="1"/>
          <w:sz w:val="32"/>
          <w:szCs w:val="32"/>
          <w:rtl w:val="0"/>
        </w:rPr>
        <w:t xml:space="preserve">Core Architectural Problem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issue is not simply a reporting gap but lacks shared enterprise data model, domain ownership, master data governance and trusted cross-domain lineage.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new design combines domain oriented ownership,federated governance, cloud-native scalability and event-driven approach.</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Now each domain has their own pipelines,schemas,SLAs,data quality,metadata and operational accountability. This removes the traditional centralized bottleneck where every integration request depends on a single enterprise data team.</w:t>
      </w:r>
    </w:p>
    <w:p w:rsidR="00000000" w:rsidDel="00000000" w:rsidP="00000000" w:rsidRDefault="00000000" w:rsidRPr="00000000" w14:paraId="0000000C">
      <w:pPr>
        <w:pStyle w:val="Heading1"/>
        <w:keepNext w:val="0"/>
        <w:keepLines w:val="0"/>
        <w:spacing w:before="480" w:lineRule="auto"/>
        <w:rPr>
          <w:b w:val="1"/>
          <w:bCs w:val="1"/>
          <w:sz w:val="32"/>
          <w:szCs w:val="32"/>
        </w:rPr>
      </w:pPr>
      <w:bookmarkStart w:colFirst="0" w:colLast="0" w:name="_w2td4ok5zjvs" w:id="3"/>
      <w:bookmarkEnd w:id="3"/>
      <w:r w:rsidDel="00000000" w:rsidR="00000000" w:rsidRPr="00000000">
        <w:rPr>
          <w:b w:val="1"/>
          <w:bCs w:val="1"/>
          <w:sz w:val="32"/>
          <w:szCs w:val="32"/>
          <w:rtl w:val="0"/>
        </w:rPr>
        <w:t xml:space="preserve">Centralized Governance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architecture introduces a centralized Governance (metadata cataloging,lineage tracking,RBAC security,quality monitoring,audit logging and master data management) across all domains (decentralized execution).</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8lvi43f1nkti" w:id="4"/>
      <w:bookmarkEnd w:id="4"/>
      <w:r w:rsidDel="00000000" w:rsidR="00000000" w:rsidRPr="00000000">
        <w:rPr>
          <w:b w:val="1"/>
          <w:bCs w:val="1"/>
          <w:sz w:val="32"/>
          <w:szCs w:val="32"/>
          <w:rtl w:val="0"/>
        </w:rPr>
        <w:t xml:space="preserve">VIN Centered Master Data</w:t>
      </w: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VIN becomes the connective entity linking manufacturing records, recall events, dealer servicing,customer ownership and replacement part orders.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architecture introduces VIN Master, Customer Master,Dealer Master and Parts Master entities.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Real-time solution achieved by event-driven integration patterns using Kafka,CDC pipelines,APIs and streaming ingestion.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When a recall is issued:</w:t>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Manufacturing publishes a recall event → Dealer systems receive impacted VINs → Customer outreach workflows initiate → Commerce systems evaluate replacement inventory → Executive dashboards update in near real-time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This replaces overnight batch reconciliation with operational intelligence.</w:t>
      </w:r>
    </w:p>
    <w:p w:rsidR="00000000" w:rsidDel="00000000" w:rsidP="00000000" w:rsidRDefault="00000000" w:rsidRPr="00000000" w14:paraId="00000015">
      <w:pPr>
        <w:pStyle w:val="Heading1"/>
        <w:keepNext w:val="0"/>
        <w:keepLines w:val="0"/>
        <w:spacing w:before="480" w:lineRule="auto"/>
        <w:rPr>
          <w:b w:val="1"/>
          <w:bCs w:val="1"/>
          <w:sz w:val="32"/>
          <w:szCs w:val="32"/>
        </w:rPr>
      </w:pPr>
      <w:bookmarkStart w:colFirst="0" w:colLast="0" w:name="_h8khbihmmq0m" w:id="5"/>
      <w:bookmarkEnd w:id="5"/>
      <w:r w:rsidDel="00000000" w:rsidR="00000000" w:rsidRPr="00000000">
        <w:rPr>
          <w:b w:val="1"/>
          <w:bCs w:val="1"/>
          <w:sz w:val="32"/>
          <w:szCs w:val="32"/>
          <w:rtl w:val="0"/>
        </w:rPr>
        <w:t xml:space="preserve">Cloud Native Lakehouse Architecture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platform adopts a modern lakehouse architecture using Python,PySpark,Kafka,Delta Lake,Snowflake and Databricks.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architecture separates raw ingestion (Bronze), curated transformation (Silver) and trusted consumption zones using Medallion Architecture</w:t>
      </w:r>
    </w:p>
    <w:p w:rsidR="00000000" w:rsidDel="00000000" w:rsidP="00000000" w:rsidRDefault="00000000" w:rsidRPr="00000000" w14:paraId="00000018">
      <w:pPr>
        <w:pStyle w:val="Heading1"/>
        <w:keepNext w:val="0"/>
        <w:keepLines w:val="0"/>
        <w:spacing w:before="480" w:lineRule="auto"/>
        <w:rPr>
          <w:b w:val="1"/>
          <w:bCs w:val="1"/>
          <w:sz w:val="32"/>
          <w:szCs w:val="32"/>
        </w:rPr>
      </w:pPr>
      <w:bookmarkStart w:colFirst="0" w:colLast="0" w:name="_e7nebv1f9ulh" w:id="6"/>
      <w:bookmarkEnd w:id="6"/>
      <w:r w:rsidDel="00000000" w:rsidR="00000000" w:rsidRPr="00000000">
        <w:rPr>
          <w:b w:val="1"/>
          <w:bCs w:val="1"/>
          <w:sz w:val="32"/>
          <w:szCs w:val="32"/>
          <w:rtl w:val="0"/>
        </w:rPr>
        <w:t xml:space="preserve">Self Service Analytics </w:t>
      </w:r>
    </w:p>
    <w:p w:rsidR="00000000" w:rsidDel="00000000" w:rsidP="00000000" w:rsidRDefault="00000000" w:rsidRPr="00000000" w14:paraId="00000019">
      <w:pPr>
        <w:pStyle w:val="Heading1"/>
        <w:keepNext w:val="0"/>
        <w:keepLines w:val="0"/>
        <w:spacing w:before="480" w:lineRule="auto"/>
        <w:rPr>
          <w:sz w:val="24"/>
          <w:szCs w:val="24"/>
        </w:rPr>
      </w:pPr>
      <w:bookmarkStart w:colFirst="0" w:colLast="0" w:name="_9rxqrm7l1dq3" w:id="7"/>
      <w:bookmarkEnd w:id="7"/>
      <w:r w:rsidDel="00000000" w:rsidR="00000000" w:rsidRPr="00000000">
        <w:rPr>
          <w:sz w:val="24"/>
          <w:szCs w:val="24"/>
          <w:rtl w:val="0"/>
        </w:rPr>
        <w:t xml:space="preserve">The final consumption layer enables governed self-service analytics through Microsoft Power BI, APIs,operational dashboards and AI-driven analytics.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Operational teams no longer depend on manual spreadsheet reconciliation.</w:t>
      </w:r>
    </w:p>
    <w:p w:rsidR="00000000" w:rsidDel="00000000" w:rsidP="00000000" w:rsidRDefault="00000000" w:rsidRPr="00000000" w14:paraId="0000001B">
      <w:pPr>
        <w:pStyle w:val="Heading1"/>
        <w:keepNext w:val="0"/>
        <w:keepLines w:val="0"/>
        <w:spacing w:before="480" w:lineRule="auto"/>
        <w:rPr>
          <w:b w:val="1"/>
          <w:bCs w:val="1"/>
          <w:sz w:val="32"/>
          <w:szCs w:val="32"/>
        </w:rPr>
      </w:pPr>
      <w:bookmarkStart w:colFirst="0" w:colLast="0" w:name="_363iallzp1ph" w:id="8"/>
      <w:bookmarkEnd w:id="8"/>
      <w:r w:rsidDel="00000000" w:rsidR="00000000" w:rsidRPr="00000000">
        <w:rPr>
          <w:b w:val="1"/>
          <w:bCs w:val="1"/>
          <w:sz w:val="32"/>
          <w:szCs w:val="32"/>
          <w:rtl w:val="0"/>
        </w:rPr>
        <w:t xml:space="preserve">Compliance </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architecture was intentionally designed to support:</w:t>
      </w:r>
    </w:p>
    <w:p w:rsidR="00000000" w:rsidDel="00000000" w:rsidP="00000000" w:rsidRDefault="00000000" w:rsidRPr="00000000" w14:paraId="0000001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International Organization for Standardization ISO 9001,</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California Consumer Privacy Act CCPA,</w:t>
      </w:r>
    </w:p>
    <w:p w:rsidR="00000000" w:rsidDel="00000000" w:rsidP="00000000" w:rsidRDefault="00000000" w:rsidRPr="00000000" w14:paraId="0000001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and SOC 2 controls.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This includes field-level classification, PII masking, audit logging, lineage tracking and policy-based access controls.</w:t>
      </w:r>
    </w:p>
    <w:p w:rsidR="00000000" w:rsidDel="00000000" w:rsidP="00000000" w:rsidRDefault="00000000" w:rsidRPr="00000000" w14:paraId="00000021">
      <w:pPr>
        <w:pStyle w:val="Heading1"/>
        <w:keepNext w:val="0"/>
        <w:keepLines w:val="0"/>
        <w:spacing w:before="480" w:lineRule="auto"/>
        <w:rPr>
          <w:b w:val="1"/>
          <w:bCs w:val="1"/>
          <w:sz w:val="32"/>
          <w:szCs w:val="32"/>
        </w:rPr>
      </w:pPr>
      <w:bookmarkStart w:colFirst="0" w:colLast="0" w:name="_ehj18gaf2g4u" w:id="9"/>
      <w:bookmarkEnd w:id="9"/>
      <w:r w:rsidDel="00000000" w:rsidR="00000000" w:rsidRPr="00000000">
        <w:rPr>
          <w:b w:val="1"/>
          <w:bCs w:val="1"/>
          <w:sz w:val="32"/>
          <w:szCs w:val="32"/>
          <w:rtl w:val="0"/>
        </w:rPr>
        <w:t xml:space="preserve">Final Architectural Position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This architecture is not simply a data platform modernization effort. Also it is an organizational operating model transformation where data becomes an enterprise product, ownership aligns to business domains, governance becomes embedded and analytics become handy in single click.</w:t>
      </w:r>
    </w:p>
    <w:p w:rsidR="00000000" w:rsidDel="00000000" w:rsidP="00000000" w:rsidRDefault="00000000" w:rsidRPr="00000000" w14:paraId="00000023">
      <w:pPr>
        <w:rPr>
          <w:b w:val="1"/>
          <w:bCs w:val="1"/>
          <w:sz w:val="36"/>
          <w:szCs w:val="3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