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vcv5a0eavxc9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README - BrickLine Motors Enterprise Data Lake (EDL)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oa2ixz7ckh3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BrickLine Motors operates manufacturing, dealer network, and Auto Parts e-commerce platforms that are currently disconnected with each other. This architecture modernizes those siloed systems into a governed enterprise Data lake achieving near real time reporting, cross domain analytics, and scalable cloud native reporting.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nhyhdsr1kjd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Challenge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 this requires manual reconciliation across Manufacturing, Dealer, and Commerce systems.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eojmcxuwlan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Core Architecture Components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vl567zrqi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VIN Master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VIN acts as the enterprise business key connecting production,recalls,dealer servicing,customer ownership and parts fulfillment.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z9dhuqgmv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Event-Driven Integration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near real-time processing using Kafka,CDC pipelines,APIs and Python/PySpark ingestion frameworks.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ga42a1r2d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Lakehouse Platform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on Snowflake, Databricks, Delta Lake, Kafka, Airflow and Python/PySpark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supports batch and streaming analytics,AI/ML workloads and enterprise reporting.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e8vkjve9t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&amp; Compliance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implements RBAC, Audit logging, Metadata cataloging, Data lineage,Data quality monitoring and Encryption at rest/in transit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Aligned with ISO 9001, CCPA, SOC 2 controls and enterprise governance standards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3jpw4ihm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 &amp; Reporting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delivers governed self-service analytics through Microsoft Power BI, APIs, AI/ML models and executive dashboards.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oqn54stb2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Outcomes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recall coordination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time cross domain visibility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manual reconciliation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inventory forecasting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Trusted enterprise data governance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ready analytics foundation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