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0576F7" w14:textId="3F7D48AC" w:rsidR="00B91954" w:rsidRPr="00DA0CE6" w:rsidRDefault="00DC5C2C" w:rsidP="00B91954">
      <w:pPr>
        <w:spacing w:after="12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Matrix</w:t>
      </w:r>
      <w:r w:rsidR="00B91954" w:rsidRPr="00491F44">
        <w:rPr>
          <w:b/>
          <w:bCs/>
          <w:color w:val="000000" w:themeColor="text1"/>
          <w:sz w:val="22"/>
          <w:szCs w:val="22"/>
        </w:rPr>
        <w:t xml:space="preserve"> of Australian </w:t>
      </w:r>
      <w:r w:rsidR="00B43D24">
        <w:rPr>
          <w:b/>
          <w:bCs/>
          <w:color w:val="000000" w:themeColor="text1"/>
          <w:sz w:val="22"/>
          <w:szCs w:val="22"/>
        </w:rPr>
        <w:t>frameworks, governance and compliance tools</w:t>
      </w:r>
      <w:r w:rsidR="00B91954" w:rsidRPr="00491F44">
        <w:rPr>
          <w:b/>
          <w:bCs/>
          <w:color w:val="000000" w:themeColor="text1"/>
          <w:sz w:val="22"/>
          <w:szCs w:val="22"/>
        </w:rPr>
        <w:t xml:space="preserve"> </w:t>
      </w:r>
      <w:r w:rsidR="00B43D24">
        <w:rPr>
          <w:b/>
          <w:bCs/>
          <w:color w:val="000000" w:themeColor="text1"/>
          <w:sz w:val="22"/>
          <w:szCs w:val="22"/>
        </w:rPr>
        <w:t>to guide the responsible and transparent use of AI/ML in healthcare research</w:t>
      </w:r>
    </w:p>
    <w:p w14:paraId="3B289850" w14:textId="40FC920C" w:rsidR="00B43D24" w:rsidRPr="003E460D" w:rsidRDefault="00B43D24" w:rsidP="005944F8">
      <w:pPr>
        <w:spacing w:after="60"/>
        <w:ind w:right="89"/>
        <w:jc w:val="both"/>
        <w:rPr>
          <w:i/>
          <w:iCs/>
          <w:color w:val="156082" w:themeColor="accent1"/>
        </w:rPr>
      </w:pPr>
      <w:r w:rsidRPr="006B06F2">
        <w:rPr>
          <w:i/>
          <w:iCs/>
        </w:rPr>
        <w:t xml:space="preserve">Ranked by relevance to health researchers and clinicians involved in advanced analytics and AI in health, most to least relevant, grouped in four tiers. </w:t>
      </w:r>
    </w:p>
    <w:p w14:paraId="53F32460" w14:textId="0FD57594" w:rsidR="003E460D" w:rsidRPr="003E460D" w:rsidRDefault="003E460D" w:rsidP="005944F8">
      <w:pPr>
        <w:spacing w:after="60"/>
        <w:ind w:right="89"/>
        <w:jc w:val="both"/>
        <w:rPr>
          <w:i/>
          <w:iCs/>
          <w:color w:val="156082" w:themeColor="accent1"/>
        </w:rPr>
      </w:pPr>
      <w:r w:rsidRPr="003E460D">
        <w:rPr>
          <w:color w:val="156082" w:themeColor="accent1"/>
        </w:rPr>
        <w:t xml:space="preserve">Authors: A/Prof Michael </w:t>
      </w:r>
      <w:proofErr w:type="spellStart"/>
      <w:proofErr w:type="gramStart"/>
      <w:r w:rsidRPr="003E460D">
        <w:rPr>
          <w:color w:val="156082" w:themeColor="accent1"/>
        </w:rPr>
        <w:t>Guihot,QUT</w:t>
      </w:r>
      <w:proofErr w:type="spellEnd"/>
      <w:proofErr w:type="gramEnd"/>
      <w:r w:rsidRPr="003E460D">
        <w:rPr>
          <w:color w:val="156082" w:themeColor="accent1"/>
        </w:rPr>
        <w:t xml:space="preserve"> Law School</w:t>
      </w:r>
      <w:r>
        <w:rPr>
          <w:color w:val="156082" w:themeColor="accent1"/>
        </w:rPr>
        <w:t xml:space="preserve">, </w:t>
      </w:r>
      <w:r w:rsidRPr="003E460D">
        <w:rPr>
          <w:color w:val="156082" w:themeColor="accent1"/>
        </w:rPr>
        <w:t>Dr Bernadette Hyland-Wood, QUT Centre for Data Science</w:t>
      </w:r>
      <w:r>
        <w:rPr>
          <w:color w:val="156082" w:themeColor="accent1"/>
        </w:rPr>
        <w:t xml:space="preserve">.   </w:t>
      </w:r>
      <w:r>
        <w:rPr>
          <w:color w:val="156082" w:themeColor="accent1"/>
        </w:rPr>
        <w:tab/>
      </w:r>
      <w:r w:rsidRPr="003E460D">
        <w:rPr>
          <w:i/>
          <w:iCs/>
          <w:color w:val="156082" w:themeColor="accent1"/>
        </w:rPr>
        <w:t>Position as of 15 June 2026.</w:t>
      </w:r>
      <w:r w:rsidR="00A6013C">
        <w:rPr>
          <w:i/>
          <w:iCs/>
          <w:color w:val="156082" w:themeColor="accent1"/>
        </w:rPr>
        <w:t xml:space="preserve"> Version 1.</w:t>
      </w:r>
      <w:r w:rsidR="00873EE1">
        <w:rPr>
          <w:i/>
          <w:iCs/>
          <w:color w:val="156082" w:themeColor="accent1"/>
        </w:rPr>
        <w:t>1</w:t>
      </w:r>
      <w:r w:rsidRPr="003E460D">
        <w:rPr>
          <w:i/>
          <w:iCs/>
          <w:color w:val="156082" w:themeColor="accen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3608"/>
      </w:tblGrid>
      <w:tr w:rsidR="00B43D24" w14:paraId="5D3B4FE6" w14:textId="77777777" w:rsidTr="005944F8">
        <w:tc>
          <w:tcPr>
            <w:tcW w:w="1696" w:type="dxa"/>
          </w:tcPr>
          <w:p w14:paraId="1F680E74" w14:textId="77777777" w:rsidR="00B43D24" w:rsidRPr="00362117" w:rsidRDefault="00B43D24" w:rsidP="00B43D24">
            <w:pPr>
              <w:rPr>
                <w:b/>
                <w:bCs/>
                <w:color w:val="595959" w:themeColor="text1" w:themeTint="A6"/>
                <w:sz w:val="17"/>
                <w:szCs w:val="17"/>
              </w:rPr>
            </w:pPr>
            <w:r>
              <w:rPr>
                <w:b/>
                <w:bCs/>
                <w:color w:val="595959" w:themeColor="text1" w:themeTint="A6"/>
                <w:sz w:val="17"/>
                <w:szCs w:val="17"/>
              </w:rPr>
              <w:t>Key</w:t>
            </w:r>
          </w:p>
        </w:tc>
        <w:tc>
          <w:tcPr>
            <w:tcW w:w="13608" w:type="dxa"/>
          </w:tcPr>
          <w:p w14:paraId="75FF465D" w14:textId="77777777" w:rsidR="00B43D24" w:rsidRPr="00362117" w:rsidRDefault="00B43D24" w:rsidP="00B43D24">
            <w:pPr>
              <w:rPr>
                <w:color w:val="000000" w:themeColor="text1"/>
                <w:sz w:val="17"/>
                <w:szCs w:val="17"/>
              </w:rPr>
            </w:pPr>
          </w:p>
        </w:tc>
      </w:tr>
      <w:tr w:rsidR="00873EE1" w:rsidRPr="005C66E7" w14:paraId="56064427" w14:textId="77777777" w:rsidTr="00B43D24">
        <w:tc>
          <w:tcPr>
            <w:tcW w:w="1696" w:type="dxa"/>
            <w:tcBorders>
              <w:bottom w:val="single" w:sz="4" w:space="0" w:color="auto"/>
            </w:tcBorders>
            <w:shd w:val="clear" w:color="auto" w:fill="215E99" w:themeFill="text2" w:themeFillTint="BF"/>
          </w:tcPr>
          <w:p w14:paraId="11C6DC05" w14:textId="6CF4A535" w:rsidR="00873EE1" w:rsidRPr="005C66E7" w:rsidRDefault="00873EE1" w:rsidP="00B43D24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b/>
                <w:bCs/>
                <w:color w:val="FFFFFF" w:themeColor="background1"/>
                <w:sz w:val="17"/>
                <w:szCs w:val="17"/>
              </w:rPr>
              <w:t>Resource</w:t>
            </w:r>
          </w:p>
        </w:tc>
        <w:tc>
          <w:tcPr>
            <w:tcW w:w="13608" w:type="dxa"/>
          </w:tcPr>
          <w:p w14:paraId="14F354BB" w14:textId="22317AEE" w:rsidR="00873EE1" w:rsidRPr="005C66E7" w:rsidRDefault="00873EE1" w:rsidP="00B43D24">
            <w:pPr>
              <w:rPr>
                <w:color w:val="595959" w:themeColor="text1" w:themeTint="A6"/>
                <w:sz w:val="17"/>
                <w:szCs w:val="17"/>
              </w:rPr>
            </w:pPr>
            <w:r>
              <w:rPr>
                <w:color w:val="595959" w:themeColor="text1" w:themeTint="A6"/>
                <w:sz w:val="17"/>
                <w:szCs w:val="17"/>
              </w:rPr>
              <w:t xml:space="preserve">Document name and originating institution. </w:t>
            </w:r>
          </w:p>
        </w:tc>
      </w:tr>
      <w:tr w:rsidR="00B43D24" w:rsidRPr="005C66E7" w14:paraId="5F863D4F" w14:textId="77777777" w:rsidTr="00B43D24">
        <w:tc>
          <w:tcPr>
            <w:tcW w:w="1696" w:type="dxa"/>
            <w:tcBorders>
              <w:bottom w:val="single" w:sz="4" w:space="0" w:color="auto"/>
            </w:tcBorders>
            <w:shd w:val="clear" w:color="auto" w:fill="215E99" w:themeFill="text2" w:themeFillTint="BF"/>
          </w:tcPr>
          <w:p w14:paraId="47751CF8" w14:textId="77777777" w:rsidR="00B43D24" w:rsidRPr="005C66E7" w:rsidRDefault="00B43D24" w:rsidP="00B43D24">
            <w:pPr>
              <w:jc w:val="left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>Status</w:t>
            </w:r>
          </w:p>
        </w:tc>
        <w:tc>
          <w:tcPr>
            <w:tcW w:w="13608" w:type="dxa"/>
          </w:tcPr>
          <w:p w14:paraId="72E53DF1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>Whether the instrument binds, e.g., law (mandatory), funding condition, regulator guidance, framework, voluntary.</w:t>
            </w:r>
          </w:p>
        </w:tc>
      </w:tr>
      <w:tr w:rsidR="00B43D24" w:rsidRPr="005C66E7" w14:paraId="46DD55B6" w14:textId="77777777" w:rsidTr="005944F8">
        <w:tc>
          <w:tcPr>
            <w:tcW w:w="1696" w:type="dxa"/>
            <w:shd w:val="clear" w:color="auto" w:fill="215E99" w:themeFill="text2" w:themeFillTint="BF"/>
          </w:tcPr>
          <w:p w14:paraId="3BEAFC28" w14:textId="77777777" w:rsidR="00B43D24" w:rsidRPr="005C66E7" w:rsidRDefault="00B43D24" w:rsidP="00B43D24">
            <w:pPr>
              <w:jc w:val="left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>Licensing</w:t>
            </w:r>
          </w:p>
        </w:tc>
        <w:tc>
          <w:tcPr>
            <w:tcW w:w="13608" w:type="dxa"/>
          </w:tcPr>
          <w:p w14:paraId="40D8590E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>(a) open and freely reusable; (b) open with attribution requirements; (c) requires permission or negotiation; (d) requires procurement or legal review. Licensing classifies reuse of the document itself (e.g. in teaching or internal guidance), not the data or regime it governs; Creative Commons (CC) licences exclude Australian Government coats of arms, logos and third-party content.</w:t>
            </w:r>
          </w:p>
        </w:tc>
      </w:tr>
      <w:tr w:rsidR="00B43D24" w:rsidRPr="005C66E7" w14:paraId="5BE17089" w14:textId="77777777" w:rsidTr="005944F8">
        <w:tc>
          <w:tcPr>
            <w:tcW w:w="1696" w:type="dxa"/>
            <w:shd w:val="clear" w:color="auto" w:fill="215E99" w:themeFill="text2" w:themeFillTint="BF"/>
          </w:tcPr>
          <w:p w14:paraId="342E08F9" w14:textId="77777777" w:rsidR="00B43D24" w:rsidRPr="005C66E7" w:rsidRDefault="00B43D24" w:rsidP="00B43D24">
            <w:pPr>
              <w:jc w:val="left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>Applies to</w:t>
            </w:r>
          </w:p>
        </w:tc>
        <w:tc>
          <w:tcPr>
            <w:tcW w:w="13608" w:type="dxa"/>
          </w:tcPr>
          <w:p w14:paraId="651B1AD6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>Who it binds, e.g., Commonwealth (</w:t>
            </w:r>
            <w:proofErr w:type="spellStart"/>
            <w:r w:rsidRPr="005C66E7">
              <w:rPr>
                <w:color w:val="595959" w:themeColor="text1" w:themeTint="A6"/>
                <w:sz w:val="17"/>
                <w:szCs w:val="17"/>
              </w:rPr>
              <w:t>Cth</w:t>
            </w:r>
            <w:proofErr w:type="spellEnd"/>
            <w:r w:rsidRPr="005C66E7">
              <w:rPr>
                <w:color w:val="595959" w:themeColor="text1" w:themeTint="A6"/>
                <w:sz w:val="17"/>
                <w:szCs w:val="17"/>
              </w:rPr>
              <w:t>) agencies, private sector, researchers, HRECs, institutions</w:t>
            </w:r>
          </w:p>
        </w:tc>
      </w:tr>
      <w:tr w:rsidR="00B43D24" w:rsidRPr="005C66E7" w14:paraId="12EABAD0" w14:textId="77777777" w:rsidTr="005944F8">
        <w:tc>
          <w:tcPr>
            <w:tcW w:w="1696" w:type="dxa"/>
            <w:shd w:val="clear" w:color="auto" w:fill="215E99" w:themeFill="text2" w:themeFillTint="BF"/>
          </w:tcPr>
          <w:p w14:paraId="72A72E14" w14:textId="77777777" w:rsidR="00B43D24" w:rsidRPr="005C66E7" w:rsidRDefault="00B43D24" w:rsidP="00B43D24">
            <w:pPr>
              <w:jc w:val="left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>Lifecycle stage</w:t>
            </w:r>
          </w:p>
        </w:tc>
        <w:tc>
          <w:tcPr>
            <w:tcW w:w="13608" w:type="dxa"/>
          </w:tcPr>
          <w:p w14:paraId="129FAE34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>where it fits in a research project (ethics approval → data access &amp; linkage → data management → model development → validation &amp; trials → deployment).</w:t>
            </w:r>
          </w:p>
        </w:tc>
      </w:tr>
      <w:tr w:rsidR="00B43D24" w:rsidRPr="005C66E7" w14:paraId="3EC922E0" w14:textId="77777777" w:rsidTr="005944F8">
        <w:tc>
          <w:tcPr>
            <w:tcW w:w="1696" w:type="dxa"/>
            <w:shd w:val="clear" w:color="auto" w:fill="215E99" w:themeFill="text2" w:themeFillTint="BF"/>
          </w:tcPr>
          <w:p w14:paraId="520D80B3" w14:textId="77777777" w:rsidR="00B43D24" w:rsidRPr="005C66E7" w:rsidRDefault="00B43D24" w:rsidP="00B43D24">
            <w:pPr>
              <w:jc w:val="left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>Why it matters</w:t>
            </w:r>
          </w:p>
        </w:tc>
        <w:tc>
          <w:tcPr>
            <w:tcW w:w="13608" w:type="dxa"/>
          </w:tcPr>
          <w:p w14:paraId="6B0F2346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>Short description of relevance to health research and clinical delivery</w:t>
            </w:r>
          </w:p>
        </w:tc>
      </w:tr>
      <w:tr w:rsidR="00B43D24" w:rsidRPr="005C66E7" w14:paraId="2D1992B6" w14:textId="77777777" w:rsidTr="005944F8">
        <w:tc>
          <w:tcPr>
            <w:tcW w:w="1696" w:type="dxa"/>
            <w:shd w:val="clear" w:color="auto" w:fill="215E99" w:themeFill="text2" w:themeFillTint="BF"/>
          </w:tcPr>
          <w:p w14:paraId="454BBB2C" w14:textId="77777777" w:rsidR="00B43D24" w:rsidRPr="005C66E7" w:rsidRDefault="00B43D24" w:rsidP="00B43D24">
            <w:pPr>
              <w:jc w:val="left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>Currency</w:t>
            </w:r>
          </w:p>
        </w:tc>
        <w:tc>
          <w:tcPr>
            <w:tcW w:w="13608" w:type="dxa"/>
          </w:tcPr>
          <w:p w14:paraId="055871FC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>Last updated (as of June 2026) and anticipated revision schedule.</w:t>
            </w:r>
          </w:p>
        </w:tc>
      </w:tr>
      <w:tr w:rsidR="00B43D24" w:rsidRPr="005C66E7" w14:paraId="0B4ED03A" w14:textId="77777777" w:rsidTr="005944F8">
        <w:tc>
          <w:tcPr>
            <w:tcW w:w="1696" w:type="dxa"/>
            <w:shd w:val="clear" w:color="auto" w:fill="215E99" w:themeFill="text2" w:themeFillTint="BF"/>
          </w:tcPr>
          <w:p w14:paraId="491E1281" w14:textId="77777777" w:rsidR="00B43D24" w:rsidRPr="005C66E7" w:rsidRDefault="00B43D24" w:rsidP="00B43D24">
            <w:pPr>
              <w:jc w:val="left"/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>Constraints</w:t>
            </w:r>
            <w:r>
              <w:rPr>
                <w:b/>
                <w:bCs/>
                <w:color w:val="FFFFFF" w:themeColor="background1"/>
                <w:sz w:val="17"/>
                <w:szCs w:val="17"/>
              </w:rPr>
              <w:t xml:space="preserve"> &amp;</w:t>
            </w:r>
            <w:r w:rsidRPr="005C66E7">
              <w:rPr>
                <w:b/>
                <w:bCs/>
                <w:color w:val="FFFFFF" w:themeColor="background1"/>
                <w:sz w:val="17"/>
                <w:szCs w:val="17"/>
              </w:rPr>
              <w:t xml:space="preserve"> watch points</w:t>
            </w:r>
          </w:p>
        </w:tc>
        <w:tc>
          <w:tcPr>
            <w:tcW w:w="13608" w:type="dxa"/>
          </w:tcPr>
          <w:p w14:paraId="21B8B628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 xml:space="preserve">Constraints mean </w:t>
            </w:r>
            <w:r w:rsidRPr="005C66E7">
              <w:rPr>
                <w:i/>
                <w:iCs/>
                <w:color w:val="595959" w:themeColor="text1" w:themeTint="A6"/>
                <w:sz w:val="17"/>
                <w:szCs w:val="17"/>
              </w:rPr>
              <w:t>must comply</w:t>
            </w:r>
            <w:r w:rsidRPr="005C66E7">
              <w:rPr>
                <w:color w:val="595959" w:themeColor="text1" w:themeTint="A6"/>
                <w:sz w:val="17"/>
                <w:szCs w:val="17"/>
              </w:rPr>
              <w:t xml:space="preserve"> and are established by legislation, regulatory instruments, or institutional policy and are typically non-negotiable. Failure to meet a constraint may result in ethics approval being withheld or revoked, data access being denied, legal liability, or professional sanctions. </w:t>
            </w:r>
          </w:p>
          <w:p w14:paraId="4630E776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</w:p>
          <w:p w14:paraId="5D2C65EB" w14:textId="77777777" w:rsidR="00B43D24" w:rsidRPr="005C66E7" w:rsidRDefault="00B43D24" w:rsidP="00B43D24">
            <w:pPr>
              <w:jc w:val="left"/>
              <w:rPr>
                <w:color w:val="595959" w:themeColor="text1" w:themeTint="A6"/>
                <w:sz w:val="17"/>
                <w:szCs w:val="17"/>
              </w:rPr>
            </w:pPr>
            <w:r w:rsidRPr="005C66E7">
              <w:rPr>
                <w:color w:val="595959" w:themeColor="text1" w:themeTint="A6"/>
                <w:sz w:val="17"/>
                <w:szCs w:val="17"/>
              </w:rPr>
              <w:t xml:space="preserve">Watch points mean </w:t>
            </w:r>
            <w:r w:rsidRPr="005C66E7">
              <w:rPr>
                <w:i/>
                <w:iCs/>
                <w:color w:val="595959" w:themeColor="text1" w:themeTint="A6"/>
                <w:sz w:val="17"/>
                <w:szCs w:val="17"/>
              </w:rPr>
              <w:t xml:space="preserve">assess applicability, monitor for change. </w:t>
            </w:r>
            <w:r w:rsidRPr="005C66E7">
              <w:rPr>
                <w:color w:val="595959" w:themeColor="text1" w:themeTint="A6"/>
                <w:sz w:val="17"/>
                <w:szCs w:val="17"/>
              </w:rPr>
              <w:t xml:space="preserve">Watch points are governance considerations that are emerging, conditional, or </w:t>
            </w:r>
            <w:proofErr w:type="gramStart"/>
            <w:r w:rsidRPr="005C66E7">
              <w:rPr>
                <w:color w:val="595959" w:themeColor="text1" w:themeTint="A6"/>
                <w:sz w:val="17"/>
                <w:szCs w:val="17"/>
              </w:rPr>
              <w:t>context-dependent</w:t>
            </w:r>
            <w:proofErr w:type="gramEnd"/>
            <w:r w:rsidRPr="005C66E7">
              <w:rPr>
                <w:color w:val="595959" w:themeColor="text1" w:themeTint="A6"/>
                <w:sz w:val="17"/>
                <w:szCs w:val="17"/>
              </w:rPr>
              <w:t xml:space="preserve">. A watch point may not apply to every project, but researchers should assess whether it applies to </w:t>
            </w:r>
            <w:proofErr w:type="gramStart"/>
            <w:r w:rsidRPr="005C66E7">
              <w:rPr>
                <w:color w:val="595959" w:themeColor="text1" w:themeTint="A6"/>
                <w:sz w:val="17"/>
                <w:szCs w:val="17"/>
              </w:rPr>
              <w:t>theirs, and</w:t>
            </w:r>
            <w:proofErr w:type="gramEnd"/>
            <w:r w:rsidRPr="005C66E7">
              <w:rPr>
                <w:color w:val="595959" w:themeColor="text1" w:themeTint="A6"/>
                <w:sz w:val="17"/>
                <w:szCs w:val="17"/>
              </w:rPr>
              <w:t xml:space="preserve"> should be prepared for it to become a constraint as the regulatory landscape evolves.</w:t>
            </w:r>
          </w:p>
        </w:tc>
      </w:tr>
    </w:tbl>
    <w:p w14:paraId="6996EB1A" w14:textId="77777777" w:rsidR="00B43D24" w:rsidRPr="005C66E7" w:rsidRDefault="00B43D24" w:rsidP="00B43D24">
      <w:pPr>
        <w:spacing w:after="160"/>
        <w:rPr>
          <w:color w:val="595959" w:themeColor="text1" w:themeTint="A6"/>
        </w:rPr>
      </w:pPr>
    </w:p>
    <w:tbl>
      <w:tblPr>
        <w:tblW w:w="1539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"/>
        <w:gridCol w:w="2461"/>
        <w:gridCol w:w="1644"/>
        <w:gridCol w:w="1855"/>
        <w:gridCol w:w="1318"/>
        <w:gridCol w:w="1360"/>
        <w:gridCol w:w="2972"/>
        <w:gridCol w:w="1339"/>
        <w:gridCol w:w="2065"/>
      </w:tblGrid>
      <w:tr w:rsidR="00B91954" w14:paraId="18FC4346" w14:textId="77777777" w:rsidTr="003E460D">
        <w:trPr>
          <w:cantSplit/>
          <w:tblHeader/>
        </w:trPr>
        <w:tc>
          <w:tcPr>
            <w:tcW w:w="395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0E89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#</w:t>
            </w:r>
          </w:p>
        </w:tc>
        <w:tc>
          <w:tcPr>
            <w:tcW w:w="2615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992C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Resource</w:t>
            </w:r>
          </w:p>
        </w:tc>
        <w:tc>
          <w:tcPr>
            <w:tcW w:w="1669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3368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Status</w:t>
            </w:r>
          </w:p>
        </w:tc>
        <w:tc>
          <w:tcPr>
            <w:tcW w:w="1855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F186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Licensing</w:t>
            </w:r>
          </w:p>
        </w:tc>
        <w:tc>
          <w:tcPr>
            <w:tcW w:w="1342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8C3B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Applies to</w:t>
            </w:r>
          </w:p>
        </w:tc>
        <w:tc>
          <w:tcPr>
            <w:tcW w:w="1386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E7226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Lifecycle stage</w:t>
            </w:r>
          </w:p>
        </w:tc>
        <w:tc>
          <w:tcPr>
            <w:tcW w:w="3209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F6EC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Why it matters for health data research</w:t>
            </w:r>
          </w:p>
        </w:tc>
        <w:tc>
          <w:tcPr>
            <w:tcW w:w="795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66A6B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Currency (June 2026)</w:t>
            </w:r>
          </w:p>
        </w:tc>
        <w:tc>
          <w:tcPr>
            <w:tcW w:w="2132" w:type="dxa"/>
            <w:shd w:val="clear" w:color="auto" w:fill="215E99" w:themeFill="text2" w:themeFillTint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4492" w14:textId="77777777" w:rsidR="00B91954" w:rsidRPr="00B43D24" w:rsidRDefault="00B91954" w:rsidP="008D4295">
            <w:pPr>
              <w:rPr>
                <w:b/>
                <w:bCs/>
                <w:color w:val="FFFFFF" w:themeColor="background1"/>
                <w:sz w:val="17"/>
                <w:szCs w:val="17"/>
              </w:rPr>
            </w:pPr>
            <w:r w:rsidRPr="00B43D24">
              <w:rPr>
                <w:b/>
                <w:bCs/>
                <w:color w:val="FFFFFF" w:themeColor="background1"/>
                <w:sz w:val="17"/>
                <w:szCs w:val="17"/>
              </w:rPr>
              <w:t>Constraints / watch points</w:t>
            </w:r>
          </w:p>
        </w:tc>
      </w:tr>
      <w:tr w:rsidR="00B91954" w14:paraId="3CADFC2B" w14:textId="77777777" w:rsidTr="00B43D24">
        <w:trPr>
          <w:cantSplit/>
        </w:trPr>
        <w:tc>
          <w:tcPr>
            <w:tcW w:w="15398" w:type="dxa"/>
            <w:gridSpan w:val="9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8AAE" w14:textId="77777777" w:rsidR="00B91954" w:rsidRDefault="00B91954" w:rsidP="008D4295">
            <w:r>
              <w:rPr>
                <w:b/>
                <w:bCs/>
                <w:color w:val="1F3A5F"/>
                <w:sz w:val="17"/>
                <w:szCs w:val="17"/>
              </w:rPr>
              <w:t>TIER 1 — Core research ethics and health data access (gatekeeping instruments every project meets)</w:t>
            </w:r>
          </w:p>
        </w:tc>
      </w:tr>
      <w:tr w:rsidR="00B91954" w14:paraId="678CDD8B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D7FB" w14:textId="4E5339BE" w:rsidR="00B91954" w:rsidRPr="00B92BD8" w:rsidRDefault="00B91954" w:rsidP="008E561E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DBAA2" w14:textId="77777777" w:rsidR="00B91954" w:rsidRDefault="00B91954" w:rsidP="008D4295">
            <w:r>
              <w:rPr>
                <w:b/>
                <w:bCs/>
                <w:color w:val="000000"/>
                <w:sz w:val="16"/>
                <w:szCs w:val="16"/>
              </w:rPr>
              <w:t xml:space="preserve">NHMRC </w:t>
            </w:r>
            <w:hyperlink r:id="rId7" w:history="1">
              <w:r w:rsidRPr="008E42B7">
                <w:rPr>
                  <w:rStyle w:val="Hyperlink"/>
                  <w:b/>
                  <w:bCs/>
                  <w:sz w:val="16"/>
                  <w:szCs w:val="16"/>
                </w:rPr>
                <w:t>National Statement on Ethical Conduct in Human Research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(2025)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BBD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Mandatory funding/HREC condition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B23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8" w:history="1">
              <w:r w:rsidRPr="00B17743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(NHMRC)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FFD8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Researchers, HRECs, institutions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39C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Ethics approval; all stages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0B3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threshold instrument for any research using human data; the 2025 update strengthens treatment of data, databanks and emerging technologies.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E417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Updated 2025; current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1DE6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AI-specific; HREC capability on AI varies widely</w:t>
            </w:r>
          </w:p>
        </w:tc>
      </w:tr>
      <w:tr w:rsidR="00B91954" w14:paraId="7E3D8548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C0114" w14:textId="7B6533A1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1F1A" w14:textId="77777777" w:rsidR="00B91954" w:rsidRDefault="00B91954" w:rsidP="008D4295">
            <w:hyperlink r:id="rId9" w:history="1">
              <w:r w:rsidRPr="00646572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Privacy Act 1988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) and the </w:t>
            </w:r>
            <w:r w:rsidRPr="00AE594F">
              <w:rPr>
                <w:b/>
                <w:bCs/>
                <w:color w:val="000000"/>
                <w:sz w:val="16"/>
                <w:szCs w:val="16"/>
                <w:u w:val="single"/>
              </w:rPr>
              <w:t>Australian Privacy Principles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in the Schedule to the Act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032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FAA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10" w:history="1">
              <w:r w:rsidRPr="001D5E89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(Federal Register of Legislation)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3407" w14:textId="77777777" w:rsidR="00B91954" w:rsidRDefault="00B91954" w:rsidP="008D4295"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agencies; private sector incl. private health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D13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access; data management; model development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8778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Governs collection, use and disclosure of health information (‘sensitive information’) by </w:t>
            </w:r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>-regulated entities, incl. research re-use.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71D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Under continuing reform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641F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Does not cover state public hospitals; AI re-use strains APP 3 and APP 6</w:t>
            </w:r>
          </w:p>
        </w:tc>
      </w:tr>
      <w:tr w:rsidR="00B91954" w14:paraId="21EEC466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F1238" w14:textId="09DD2A54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AB9F2" w14:textId="77777777" w:rsidR="00B91954" w:rsidRDefault="00B91954" w:rsidP="008D4295">
            <w:r w:rsidRPr="0081677E">
              <w:rPr>
                <w:b/>
                <w:bCs/>
                <w:i/>
                <w:iCs/>
                <w:color w:val="000000"/>
                <w:sz w:val="16"/>
                <w:szCs w:val="16"/>
              </w:rPr>
              <w:t>Privacy Act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s </w:t>
            </w:r>
            <w:hyperlink r:id="rId11" w:history="1">
              <w:r w:rsidRPr="008B1710">
                <w:rPr>
                  <w:rStyle w:val="Hyperlink"/>
                  <w:b/>
                  <w:bCs/>
                  <w:sz w:val="16"/>
                  <w:szCs w:val="16"/>
                </w:rPr>
                <w:t>95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hyperlink r:id="rId12" w:history="1">
              <w:r w:rsidRPr="00A0525E">
                <w:rPr>
                  <w:rStyle w:val="Hyperlink"/>
                  <w:b/>
                  <w:bCs/>
                  <w:sz w:val="16"/>
                  <w:szCs w:val="16"/>
                </w:rPr>
                <w:t>95A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hyperlink r:id="rId13" w:history="1">
              <w:r w:rsidRPr="0086101C">
                <w:rPr>
                  <w:rStyle w:val="Hyperlink"/>
                  <w:b/>
                  <w:bCs/>
                  <w:sz w:val="16"/>
                  <w:szCs w:val="16"/>
                </w:rPr>
                <w:t>95AA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Guidelines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C5D5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statutory guidelines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4D58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14" w:history="1">
              <w:r w:rsidRPr="00AD2C91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(NHMRC)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55F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HRECs, researchers, data custodians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CCDF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Ethics approval; data access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244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legal mechanism by which HRECs authorise use of identifiable health information without consent — the workhorse of secondary-use research.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277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Stable; review likely with Tranche 2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C2DF" w14:textId="77777777" w:rsidR="00B91954" w:rsidRDefault="00B91954" w:rsidP="008D4295"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>-regulated data only; state Acts have parallel waiver provisions</w:t>
            </w:r>
          </w:p>
        </w:tc>
      </w:tr>
      <w:tr w:rsidR="00B91954" w14:paraId="5BCB860D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1394C" w14:textId="04AD8673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F3F2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State/territory health privacy laws — e.g</w:t>
            </w:r>
            <w:r w:rsidRPr="0081677E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. </w:t>
            </w:r>
            <w:hyperlink r:id="rId15" w:history="1">
              <w:r w:rsidRPr="005243BA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Information Privacy Act 2009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(Qld); </w:t>
            </w:r>
          </w:p>
          <w:p w14:paraId="7EAE74DC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hyperlink r:id="rId16" w:history="1">
              <w:r w:rsidRPr="00D93BBD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Health Records and Information Privacy Act 2002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(NSW);</w:t>
            </w:r>
          </w:p>
          <w:p w14:paraId="05C615FC" w14:textId="77777777" w:rsidR="00B91954" w:rsidRDefault="00B91954" w:rsidP="008D4295">
            <w:hyperlink r:id="rId17" w:history="1">
              <w:r w:rsidRPr="00E266AC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Health Records Act 2001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(Vic)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13F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 (state/territory)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936D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CC BY 4.0 on state legislation sites — </w:t>
            </w:r>
            <w:proofErr w:type="spellStart"/>
            <w:r>
              <w:rPr>
                <w:color w:val="000000"/>
                <w:sz w:val="16"/>
                <w:szCs w:val="16"/>
              </w:rPr>
              <w:t>eg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hyperlink r:id="rId18" w:history="1">
              <w:r w:rsidRPr="0008619A">
                <w:rPr>
                  <w:rStyle w:val="Hyperlink"/>
                  <w:sz w:val="16"/>
                  <w:szCs w:val="16"/>
                </w:rPr>
                <w:t>Qld Legislation</w:t>
              </w:r>
            </w:hyperlink>
            <w:r>
              <w:rPr>
                <w:color w:val="000000"/>
                <w:sz w:val="16"/>
                <w:szCs w:val="16"/>
              </w:rPr>
              <w:t xml:space="preserve"> - verify per jurisdiction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817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Public hospitals, state agencies, some private providers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78C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access; linkage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E7A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Most Australian clinical data </w:t>
            </w:r>
            <w:proofErr w:type="gramStart"/>
            <w:r>
              <w:rPr>
                <w:color w:val="000000"/>
                <w:sz w:val="16"/>
                <w:szCs w:val="16"/>
              </w:rPr>
              <w:t>sits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in state public systems governed by these Acts, not the Commonwealth </w:t>
            </w:r>
            <w:r w:rsidRPr="002855E4">
              <w:rPr>
                <w:i/>
                <w:iCs/>
                <w:color w:val="000000"/>
                <w:sz w:val="16"/>
                <w:szCs w:val="16"/>
              </w:rPr>
              <w:t>Privacy Act 1988</w:t>
            </w:r>
            <w:r>
              <w:rPr>
                <w:color w:val="000000"/>
                <w:sz w:val="16"/>
                <w:szCs w:val="16"/>
              </w:rPr>
              <w:t xml:space="preserve"> — the first question for any data access request.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67D9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Varies; Qld amended 2025 (incl. Mandatory Notification of Data Breach scheme)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B87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Fragmented; multi-site projects face inconsistent rules across jurisdictions</w:t>
            </w:r>
          </w:p>
        </w:tc>
      </w:tr>
      <w:tr w:rsidR="00B91954" w14:paraId="643FAF46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771E" w14:textId="100BAA85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07DEE" w14:textId="77777777" w:rsidR="00B91954" w:rsidRDefault="00B91954" w:rsidP="008D4295">
            <w:hyperlink r:id="rId19" w:history="1">
              <w:r w:rsidRPr="00835472">
                <w:rPr>
                  <w:rStyle w:val="Hyperlink"/>
                  <w:b/>
                  <w:bCs/>
                  <w:sz w:val="16"/>
                  <w:szCs w:val="16"/>
                </w:rPr>
                <w:t>Australian Code for the Responsible Conduct of Research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(2018) + supporting guides (same site)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C10F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Mandatory funding condition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B72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20" w:history="1">
              <w:r w:rsidRPr="00BC31F7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(NHMRC/ARC/UA)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67B2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Researchers, institutions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F908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All stages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7C96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Research-integrity baseline; data management, authorship and peer-review guides apply directly to AI-assisted research.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702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Stable; guides periodically updated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513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Principles-based; institutional AI-use policies still catching up</w:t>
            </w:r>
          </w:p>
        </w:tc>
      </w:tr>
      <w:tr w:rsidR="00B91954" w14:paraId="16FFB09B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EE89" w14:textId="2A996165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3035E" w14:textId="77777777" w:rsidR="00B91954" w:rsidRDefault="00B91954" w:rsidP="008D4295">
            <w:hyperlink r:id="rId21" w:history="1">
              <w:r w:rsidRPr="00D25C6D">
                <w:rPr>
                  <w:rStyle w:val="Hyperlink"/>
                  <w:b/>
                  <w:bCs/>
                  <w:sz w:val="16"/>
                  <w:szCs w:val="16"/>
                </w:rPr>
                <w:t>NHMRC Ethical Conduct in Research with Aboriginal and Torres Strait Islander Peoples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(2018) + </w:t>
            </w:r>
            <w:hyperlink r:id="rId22" w:history="1">
              <w:r w:rsidRPr="004F5F95">
                <w:rPr>
                  <w:rStyle w:val="Hyperlink"/>
                  <w:b/>
                  <w:bCs/>
                  <w:sz w:val="16"/>
                  <w:szCs w:val="16"/>
                </w:rPr>
                <w:t>Keeping Research on Track II</w:t>
              </w:r>
            </w:hyperlink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501E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Mandatory funding/HREC condition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726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23" w:history="1">
              <w:r w:rsidRPr="00B800A2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(NHMRC) 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B1F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Researchers, HRECs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B8C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Ethics approval; all stages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992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Required for any research involving Indigenous peoples or their data; six core values applied by HRECs.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739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Established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47E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Must be applied through community governance, not as a checklist</w:t>
            </w:r>
          </w:p>
        </w:tc>
      </w:tr>
      <w:tr w:rsidR="00B91954" w14:paraId="685AB475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E08E" w14:textId="593A388E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194E7" w14:textId="77777777" w:rsidR="00B91954" w:rsidRDefault="00B91954" w:rsidP="008D4295">
            <w:hyperlink r:id="rId24" w:history="1">
              <w:r w:rsidRPr="004A765F">
                <w:rPr>
                  <w:rStyle w:val="Hyperlink"/>
                  <w:b/>
                  <w:bCs/>
                  <w:sz w:val="16"/>
                  <w:szCs w:val="16"/>
                </w:rPr>
                <w:t>NHMRC Management of Data and Information in Research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(2019)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62A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Guide supporting the Code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302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25" w:history="1">
              <w:r w:rsidRPr="005521D1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(NHMRC)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1F3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Researchers, institutions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638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management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26B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most direct national guidance on retention, sharing and re-use of research data.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E69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349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Pre-dates generative AI</w:t>
            </w:r>
          </w:p>
        </w:tc>
      </w:tr>
      <w:tr w:rsidR="00B91954" w14:paraId="4009D6D0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CA29" w14:textId="299889C3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D890C" w14:textId="77777777" w:rsidR="00B91954" w:rsidRDefault="00B91954" w:rsidP="008D4295">
            <w:hyperlink r:id="rId26" w:history="1">
              <w:r w:rsidRPr="00D363CE">
                <w:rPr>
                  <w:rStyle w:val="Hyperlink"/>
                  <w:b/>
                  <w:bCs/>
                  <w:sz w:val="16"/>
                  <w:szCs w:val="16"/>
                </w:rPr>
                <w:t>AIATSIS Code of Ethics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(2020)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587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Mandatory for AIATSIS-funded; strong normative force generally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1B58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(c) © AIATSIS — free to access; reuse beyond fair dealing needs permission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F64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D8E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Ethics approval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061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Indigenous research ethics including data and digital materials; complements the NHMRC guidelines.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8509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Established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499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Context-specific application required</w:t>
            </w:r>
          </w:p>
        </w:tc>
      </w:tr>
      <w:tr w:rsidR="00B91954" w14:paraId="5B95518D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2CE0A" w14:textId="5BE9C013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745BA" w14:textId="77777777" w:rsidR="00B91954" w:rsidRDefault="00B91954" w:rsidP="008D4295">
            <w:hyperlink r:id="rId27" w:history="1">
              <w:proofErr w:type="spellStart"/>
              <w:r w:rsidRPr="00412EA7">
                <w:rPr>
                  <w:rStyle w:val="Hyperlink"/>
                  <w:b/>
                  <w:bCs/>
                  <w:sz w:val="16"/>
                  <w:szCs w:val="16"/>
                </w:rPr>
                <w:t>Maiam</w:t>
              </w:r>
              <w:proofErr w:type="spellEnd"/>
              <w:r w:rsidRPr="00412EA7">
                <w:rPr>
                  <w:rStyle w:val="Hyperlink"/>
                  <w:b/>
                  <w:bCs/>
                  <w:sz w:val="16"/>
                  <w:szCs w:val="16"/>
                </w:rPr>
                <w:t xml:space="preserve"> </w:t>
              </w:r>
              <w:proofErr w:type="spellStart"/>
              <w:r w:rsidRPr="00412EA7">
                <w:rPr>
                  <w:rStyle w:val="Hyperlink"/>
                  <w:b/>
                  <w:bCs/>
                  <w:sz w:val="16"/>
                  <w:szCs w:val="16"/>
                </w:rPr>
                <w:t>nayri</w:t>
              </w:r>
              <w:proofErr w:type="spellEnd"/>
              <w:r w:rsidRPr="00412EA7">
                <w:rPr>
                  <w:rStyle w:val="Hyperlink"/>
                  <w:b/>
                  <w:bCs/>
                  <w:sz w:val="16"/>
                  <w:szCs w:val="16"/>
                </w:rPr>
                <w:t xml:space="preserve"> </w:t>
              </w:r>
              <w:proofErr w:type="spellStart"/>
              <w:r w:rsidRPr="00412EA7">
                <w:rPr>
                  <w:rStyle w:val="Hyperlink"/>
                  <w:b/>
                  <w:bCs/>
                  <w:sz w:val="16"/>
                  <w:szCs w:val="16"/>
                </w:rPr>
                <w:t>Wingara</w:t>
              </w:r>
              <w:proofErr w:type="spellEnd"/>
              <w:r w:rsidRPr="00412EA7">
                <w:rPr>
                  <w:rStyle w:val="Hyperlink"/>
                  <w:b/>
                  <w:bCs/>
                  <w:sz w:val="16"/>
                  <w:szCs w:val="16"/>
                </w:rPr>
                <w:t xml:space="preserve"> Indigenous Data Sovereignty principles</w:t>
              </w:r>
            </w:hyperlink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C03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Normative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D016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(c) No formal licence — engage </w:t>
            </w:r>
            <w:proofErr w:type="spellStart"/>
            <w:r>
              <w:rPr>
                <w:color w:val="000000"/>
                <w:sz w:val="16"/>
                <w:szCs w:val="16"/>
              </w:rPr>
              <w:t>Maiam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nayri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Wingara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Indigenous governance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BBD3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Researchers, data custodians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9C1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access; data management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633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Indigenous data sovereignty and governance expectations for any dataset containing Indigenous data — increasingly expected by custodians and funders.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8E8E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Growing adoption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D077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codified in legislation; requires genuine partnership structures</w:t>
            </w:r>
          </w:p>
        </w:tc>
      </w:tr>
      <w:tr w:rsidR="00980436" w14:paraId="0D1EB3E1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4CA9" w14:textId="77777777" w:rsidR="00980436" w:rsidRPr="00B92BD8" w:rsidRDefault="00980436" w:rsidP="003422A7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DA51" w14:textId="77777777" w:rsidR="00980436" w:rsidRPr="00DE3B72" w:rsidRDefault="00980436" w:rsidP="003422A7">
            <w:pPr>
              <w:rPr>
                <w:b/>
                <w:bCs/>
                <w:sz w:val="16"/>
                <w:szCs w:val="16"/>
              </w:rPr>
            </w:pPr>
            <w:hyperlink r:id="rId28" w:history="1">
              <w:r w:rsidRPr="00426D8F">
                <w:rPr>
                  <w:rStyle w:val="Hyperlink"/>
                  <w:b/>
                  <w:bCs/>
                  <w:sz w:val="16"/>
                  <w:szCs w:val="16"/>
                </w:rPr>
                <w:t>Framework for Governance of Indigenous Data</w:t>
              </w:r>
            </w:hyperlink>
            <w:r w:rsidRPr="00DE3B72">
              <w:rPr>
                <w:b/>
                <w:bCs/>
                <w:sz w:val="16"/>
                <w:szCs w:val="16"/>
              </w:rPr>
              <w:t xml:space="preserve"> (</w:t>
            </w:r>
            <w:r>
              <w:rPr>
                <w:b/>
                <w:bCs/>
                <w:sz w:val="16"/>
                <w:szCs w:val="16"/>
              </w:rPr>
              <w:t xml:space="preserve">NIAA </w:t>
            </w:r>
            <w:r w:rsidRPr="00DE3B72">
              <w:rPr>
                <w:b/>
                <w:bCs/>
                <w:sz w:val="16"/>
                <w:szCs w:val="16"/>
              </w:rPr>
              <w:t>2024)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370E" w14:textId="77777777" w:rsidR="00980436" w:rsidRPr="00DE3B72" w:rsidRDefault="00980436" w:rsidP="003422A7">
            <w:pPr>
              <w:rPr>
                <w:color w:val="000000"/>
                <w:sz w:val="16"/>
                <w:szCs w:val="16"/>
              </w:rPr>
            </w:pPr>
            <w:r w:rsidRPr="00B05F6F">
              <w:rPr>
                <w:color w:val="000000"/>
                <w:sz w:val="16"/>
                <w:szCs w:val="16"/>
              </w:rPr>
              <w:t xml:space="preserve">Australian Government guidance 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07EC" w14:textId="77777777" w:rsidR="00980436" w:rsidRPr="00DE3B72" w:rsidRDefault="00980436" w:rsidP="003422A7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(b) </w:t>
            </w:r>
            <w:r w:rsidRPr="00595856">
              <w:rPr>
                <w:color w:val="000000"/>
                <w:sz w:val="16"/>
                <w:szCs w:val="16"/>
              </w:rPr>
              <w:t>CC BY 4.0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E1E6" w14:textId="77777777" w:rsidR="00980436" w:rsidRPr="00DE3B72" w:rsidRDefault="00980436" w:rsidP="003422A7">
            <w:pPr>
              <w:rPr>
                <w:color w:val="000000"/>
                <w:sz w:val="16"/>
                <w:szCs w:val="16"/>
              </w:rPr>
            </w:pPr>
            <w:r w:rsidRPr="00AA7E2C">
              <w:rPr>
                <w:color w:val="000000"/>
                <w:sz w:val="16"/>
                <w:szCs w:val="16"/>
              </w:rPr>
              <w:t>Australian Government (APS) agencies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7DD03" w14:textId="77777777" w:rsidR="00980436" w:rsidRPr="00DE3B72" w:rsidRDefault="00980436" w:rsidP="003422A7">
            <w:pPr>
              <w:rPr>
                <w:color w:val="000000"/>
                <w:sz w:val="16"/>
                <w:szCs w:val="16"/>
              </w:rPr>
            </w:pPr>
            <w:r w:rsidRPr="00174C3B">
              <w:rPr>
                <w:color w:val="000000"/>
                <w:sz w:val="16"/>
                <w:szCs w:val="16"/>
              </w:rPr>
              <w:t>Whole data lifecycle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BF98" w14:textId="77777777" w:rsidR="00980436" w:rsidRPr="00DE3B72" w:rsidRDefault="00980436" w:rsidP="003422A7">
            <w:pPr>
              <w:rPr>
                <w:color w:val="000000"/>
                <w:sz w:val="16"/>
                <w:szCs w:val="16"/>
              </w:rPr>
            </w:pPr>
            <w:r w:rsidRPr="004C3AE0">
              <w:rPr>
                <w:color w:val="000000"/>
                <w:sz w:val="16"/>
                <w:szCs w:val="16"/>
              </w:rPr>
              <w:t>FAIR + CARE principles, ethical collection and disaggregated access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0D54E" w14:textId="77777777" w:rsidR="00980436" w:rsidRPr="00DE3B72" w:rsidRDefault="00980436" w:rsidP="003422A7">
            <w:pPr>
              <w:rPr>
                <w:color w:val="000000"/>
                <w:sz w:val="16"/>
                <w:szCs w:val="16"/>
              </w:rPr>
            </w:pPr>
            <w:r w:rsidRPr="00174C3B">
              <w:rPr>
                <w:color w:val="000000"/>
                <w:sz w:val="16"/>
                <w:szCs w:val="16"/>
              </w:rPr>
              <w:t>First published May 2024. Still current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D5D3" w14:textId="77777777" w:rsidR="00980436" w:rsidRPr="00DE3B72" w:rsidRDefault="00980436" w:rsidP="003422A7">
            <w:pPr>
              <w:rPr>
                <w:color w:val="000000"/>
                <w:sz w:val="16"/>
                <w:szCs w:val="16"/>
              </w:rPr>
            </w:pPr>
            <w:r w:rsidRPr="00F74A46">
              <w:rPr>
                <w:color w:val="000000"/>
                <w:sz w:val="16"/>
                <w:szCs w:val="16"/>
              </w:rPr>
              <w:t>Guidance only — no enforcement mechanism</w:t>
            </w:r>
          </w:p>
        </w:tc>
      </w:tr>
      <w:tr w:rsidR="00B91954" w14:paraId="200C769B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673D4" w14:textId="44D80EEF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4B2F" w14:textId="77777777" w:rsidR="00B91954" w:rsidRDefault="00B91954" w:rsidP="008D4295">
            <w:hyperlink r:id="rId29" w:history="1">
              <w:r w:rsidRPr="00505D70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Privacy and Other Legislation Amendment Act 2024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(Tranche 1)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F0246" w14:textId="77777777" w:rsidR="00B91954" w:rsidRDefault="00B91954" w:rsidP="008D4295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Binding law - amends the </w:t>
            </w:r>
            <w:r w:rsidRPr="00BD147A">
              <w:rPr>
                <w:i/>
                <w:iCs/>
                <w:color w:val="000000"/>
                <w:sz w:val="16"/>
                <w:szCs w:val="16"/>
              </w:rPr>
              <w:t>Privacy Act 1988</w:t>
            </w:r>
            <w:r>
              <w:rPr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  <w:p w14:paraId="1676F3C0" w14:textId="77777777" w:rsidR="00B91954" w:rsidRDefault="00B91954" w:rsidP="008D4295">
            <w:r>
              <w:t>Will expire but amendments will remain in the Privacy Act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1C8B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30" w:history="1">
              <w:r w:rsidRPr="00A73925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(Federal Register of Legislation)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D142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All APP entities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0A2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management; deployment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938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Statutory tort for serious invasions of privacy (June 2025) raises the stakes of data misuse; ADM transparency obligations commence Dec 2026.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0EA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Enacted; staged commencement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5B6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Tranche 2 (fair-and-reasonable test, consent reform) still outstanding</w:t>
            </w:r>
          </w:p>
        </w:tc>
      </w:tr>
      <w:tr w:rsidR="00B91954" w14:paraId="412C5D49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D946" w14:textId="34DB6485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186A" w14:textId="77777777" w:rsidR="00B91954" w:rsidRDefault="00B91954" w:rsidP="008D4295">
            <w:hyperlink r:id="rId31" w:history="1">
              <w:r w:rsidRPr="00677DB0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Data Availability and Transparency Act 2022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(DATA Scheme)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F670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A30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32" w:history="1">
              <w:r w:rsidRPr="00DE0FC3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(Federal Register of Legislation)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FB3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ONDC, </w:t>
            </w:r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custodians, accredited users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453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access; linkage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5AA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accreditation pathway for researchers seeking Commonwealth datasets (e.g. MBS/PBS) for linked-data research.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822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Active scheme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F951" w14:textId="77777777" w:rsidR="00B91954" w:rsidRDefault="00B91954" w:rsidP="008D4295"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only; accreditation effort; some uses excluded</w:t>
            </w:r>
          </w:p>
        </w:tc>
      </w:tr>
      <w:tr w:rsidR="00B91954" w14:paraId="5C8B5B02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9096" w14:textId="67C40795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EA6E1" w14:textId="77777777" w:rsidR="00B91954" w:rsidRDefault="00B91954" w:rsidP="008D4295">
            <w:hyperlink r:id="rId33" w:history="1">
              <w:r w:rsidRPr="00A35506">
                <w:rPr>
                  <w:rStyle w:val="Hyperlink"/>
                  <w:b/>
                  <w:bCs/>
                  <w:sz w:val="16"/>
                  <w:szCs w:val="16"/>
                </w:rPr>
                <w:t>Five Safes Framework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(ABS / AIHW)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DE2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Governance model (sector-adopted)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64E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34" w:anchor="copyright-and-creative-commons" w:history="1">
              <w:r w:rsidRPr="008B77F6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(ABS); AIHW materials vary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A802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custodians, linkage units, researchers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45A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access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3668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de facto risk framework every Australian custodian applies when assessing access requests — know it before you apply.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0A9C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Embedded in custodian practice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DAC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law; applied with varying stringency</w:t>
            </w:r>
          </w:p>
        </w:tc>
      </w:tr>
      <w:tr w:rsidR="00B91954" w14:paraId="0A4A2EBB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326B" w14:textId="1D45768A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E12C7" w14:textId="77777777" w:rsidR="00B91954" w:rsidRDefault="00B91954" w:rsidP="008D4295">
            <w:hyperlink r:id="rId35" w:history="1">
              <w:r w:rsidRPr="00D73B23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My Health Records Act</w:t>
              </w:r>
            </w:hyperlink>
            <w:r w:rsidRPr="007D6D18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2012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+ Framework for Secondary Use of MHR Data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3494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 + policy framework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66E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36" w:history="1">
              <w:r w:rsidRPr="00660DFC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(legislation; Dept of Health framework)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0BB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Researchers; AIHW as data custodian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3CDE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access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60D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Governs research access to the national EHR and the conditions of secondary use.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52A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Pathway still maturing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9BA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Opt-out dynamics affect representativeness; access remains limited</w:t>
            </w:r>
          </w:p>
        </w:tc>
      </w:tr>
      <w:tr w:rsidR="00B91954" w14:paraId="7A97C378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7B19" w14:textId="3C686645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63A3" w14:textId="77777777" w:rsidR="00B91954" w:rsidRDefault="00B91954" w:rsidP="008D4295">
            <w:hyperlink r:id="rId37" w:history="1">
              <w:r w:rsidRPr="00257164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Healthcare Identifiers Act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7D6D18">
              <w:rPr>
                <w:b/>
                <w:bCs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2E8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76B8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38" w:history="1">
              <w:r w:rsidRPr="00257164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(Federal Register of Legislation)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4FC8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Providers, linkage units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87E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Linkage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574B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Regulates use of healthcare identifiers (IHIs) in data linkage.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C965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17A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Narrow scope</w:t>
            </w:r>
          </w:p>
        </w:tc>
      </w:tr>
      <w:tr w:rsidR="00B91954" w14:paraId="196D1D52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2CB14" w14:textId="7E5B6373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59B1A" w14:textId="77777777" w:rsidR="00B91954" w:rsidRDefault="00B91954" w:rsidP="008D4295">
            <w:hyperlink r:id="rId39" w:history="1">
              <w:r w:rsidRPr="00AF372C">
                <w:rPr>
                  <w:rStyle w:val="Hyperlink"/>
                  <w:b/>
                  <w:bCs/>
                  <w:sz w:val="16"/>
                  <w:szCs w:val="16"/>
                </w:rPr>
                <w:t>ARDC Research Data Management Framework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(FAIR; institutional RDM)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C104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Sector framework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74B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(ARDC)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BD43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Universities, researchers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008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management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20E4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National infrastructure and practice baseline for managing and sharing research data.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D90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Maintained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018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Requires institutional adoption; pair FAIR with CARE for Indigenous data</w:t>
            </w:r>
          </w:p>
        </w:tc>
      </w:tr>
      <w:tr w:rsidR="00B91954" w14:paraId="09B9477E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A94E1" w14:textId="7E098A71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3728" w14:textId="77777777" w:rsidR="00B91954" w:rsidRDefault="00B91954" w:rsidP="008D4295">
            <w:hyperlink r:id="rId40" w:history="1">
              <w:r w:rsidRPr="001F1120">
                <w:rPr>
                  <w:rStyle w:val="Hyperlink"/>
                  <w:b/>
                  <w:bCs/>
                  <w:sz w:val="16"/>
                  <w:szCs w:val="16"/>
                </w:rPr>
                <w:t>OAIC guidance on AI and privacy</w:t>
              </w:r>
            </w:hyperlink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D4F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Regulator guidance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127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41" w:history="1">
              <w:r w:rsidRPr="00757386">
                <w:rPr>
                  <w:rStyle w:val="Hyperlink"/>
                  <w:sz w:val="16"/>
                  <w:szCs w:val="16"/>
                </w:rPr>
                <w:t xml:space="preserve">CC BY </w:t>
              </w:r>
              <w:r>
                <w:rPr>
                  <w:rStyle w:val="Hyperlink"/>
                  <w:sz w:val="16"/>
                  <w:szCs w:val="16"/>
                </w:rPr>
                <w:t xml:space="preserve">4.0 </w:t>
              </w:r>
              <w:r w:rsidRPr="00757386">
                <w:rPr>
                  <w:rStyle w:val="Hyperlink"/>
                  <w:sz w:val="16"/>
                  <w:szCs w:val="16"/>
                </w:rPr>
                <w:t>(OAIC)</w:t>
              </w:r>
            </w:hyperlink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553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APP entities, researchers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089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Model development; deployment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2CE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regulator’s position on applying the APPs to AI development and to use of commercial AI tools with personal information.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9353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Current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772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Guidance, not law; oriented to commercial tools</w:t>
            </w:r>
          </w:p>
        </w:tc>
      </w:tr>
      <w:tr w:rsidR="00B91954" w14:paraId="0DB064F9" w14:textId="77777777" w:rsidTr="00B43D24">
        <w:trPr>
          <w:cantSplit/>
        </w:trPr>
        <w:tc>
          <w:tcPr>
            <w:tcW w:w="15398" w:type="dxa"/>
            <w:gridSpan w:val="9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7515" w14:textId="77777777" w:rsidR="00B91954" w:rsidRPr="005F670C" w:rsidRDefault="00B91954" w:rsidP="00EA3F01">
            <w:pPr>
              <w:rPr>
                <w:b/>
                <w:bCs/>
                <w:sz w:val="16"/>
                <w:szCs w:val="16"/>
              </w:rPr>
            </w:pPr>
            <w:r w:rsidRPr="005F670C">
              <w:rPr>
                <w:b/>
                <w:bCs/>
                <w:sz w:val="16"/>
                <w:szCs w:val="16"/>
              </w:rPr>
              <w:t>TIER 2 — Clinical AI, translation and liability (when the research builds, tests or deploys an AI tool)</w:t>
            </w:r>
          </w:p>
        </w:tc>
      </w:tr>
      <w:tr w:rsidR="00B91954" w14:paraId="3E6E7BC9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E5CBA" w14:textId="1BDE1FAC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3537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hyperlink r:id="rId42" w:history="1">
              <w:r w:rsidRPr="00EA3677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Therapeutic Goods Act 1989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477E8387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14:paraId="5B88B852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+ </w:t>
            </w:r>
            <w:hyperlink r:id="rId43" w:history="1">
              <w:r w:rsidRPr="00B07C9A">
                <w:rPr>
                  <w:rStyle w:val="Hyperlink"/>
                  <w:b/>
                  <w:bCs/>
                  <w:sz w:val="16"/>
                  <w:szCs w:val="16"/>
                </w:rPr>
                <w:t>TGA guidance on AI/ML medical devices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(incl. </w:t>
            </w:r>
          </w:p>
          <w:p w14:paraId="2713F94F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14:paraId="4450052B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hyperlink r:id="rId44" w:history="1">
              <w:r w:rsidRPr="00373744">
                <w:rPr>
                  <w:rStyle w:val="Hyperlink"/>
                  <w:b/>
                  <w:bCs/>
                  <w:sz w:val="16"/>
                  <w:szCs w:val="16"/>
                </w:rPr>
                <w:t>Clinical Trial Notification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4CE328AC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14:paraId="419C3776" w14:textId="77777777" w:rsidR="00B91954" w:rsidRDefault="00B91954" w:rsidP="008D4295">
            <w:hyperlink r:id="rId45" w:history="1">
              <w:r w:rsidRPr="00C905E7">
                <w:rPr>
                  <w:rStyle w:val="Hyperlink"/>
                  <w:b/>
                  <w:bCs/>
                  <w:sz w:val="16"/>
                  <w:szCs w:val="16"/>
                </w:rPr>
                <w:t>Clinical Trial Approval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pathways)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6FB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 + regulatory interpretation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20AF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46" w:history="1">
              <w:r w:rsidRPr="006276CE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(legislation 4.0; TGA site CC BY 3.0 AU)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262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Sponsors, developers, researchers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8FF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Validation &amp; trials; deployment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08F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Determines whether an AI tool is a regulated medical device and which clinical trial pathway applies — the gateway for translational AI.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078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Actively maintained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8BA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Software boundary (clinical decision support exemptions) contested</w:t>
            </w:r>
          </w:p>
        </w:tc>
      </w:tr>
      <w:tr w:rsidR="00B91954" w14:paraId="3FE1CA64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A53D" w14:textId="3371CE92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2D91F" w14:textId="77777777" w:rsidR="00B91954" w:rsidRDefault="00B91954" w:rsidP="008D4295">
            <w:hyperlink r:id="rId47" w:history="1">
              <w:r w:rsidRPr="000C161D">
                <w:rPr>
                  <w:rStyle w:val="Hyperlink"/>
                  <w:b/>
                  <w:bCs/>
                  <w:sz w:val="16"/>
                  <w:szCs w:val="16"/>
                </w:rPr>
                <w:t>National Clinical Trials Governance Framework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(ACSQHC)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04A7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National framework (accreditation)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46BC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(b)/(c) </w:t>
            </w:r>
            <w:hyperlink r:id="rId48" w:history="1">
              <w:r w:rsidRPr="004C2AA5">
                <w:rPr>
                  <w:rStyle w:val="Hyperlink"/>
                  <w:sz w:val="16"/>
                  <w:szCs w:val="16"/>
                </w:rPr>
                <w:t>CC BY-NC-ND 4.0 (ACSQHC)</w:t>
              </w:r>
            </w:hyperlink>
            <w:r>
              <w:rPr>
                <w:color w:val="000000"/>
                <w:sz w:val="16"/>
                <w:szCs w:val="16"/>
              </w:rPr>
              <w:t xml:space="preserve"> — exact copies only; adaptation needs permission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6B6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Health service organisations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C5F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Validation &amp; trials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E75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Site-level governance and accreditation for trials, including clinical AI trials.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1324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Current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34A9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Site-level focus; sponsor obligations sit elsewhere</w:t>
            </w:r>
          </w:p>
        </w:tc>
      </w:tr>
      <w:tr w:rsidR="00B91954" w14:paraId="1B9B5EC1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2D00" w14:textId="300E7CA6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4E91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Australian Commission on Safety and Quality in Health Care </w:t>
            </w:r>
            <w:hyperlink r:id="rId49" w:history="1">
              <w:r w:rsidRPr="00855CA7">
                <w:rPr>
                  <w:rStyle w:val="Hyperlink"/>
                  <w:b/>
                  <w:bCs/>
                  <w:sz w:val="16"/>
                  <w:szCs w:val="16"/>
                </w:rPr>
                <w:t>ACSQHC AI guidance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>, incl.</w:t>
            </w:r>
          </w:p>
          <w:p w14:paraId="411FC3ED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14:paraId="7AAC3E39" w14:textId="77777777" w:rsidR="00B91954" w:rsidRDefault="00B91954" w:rsidP="008D4295">
            <w:hyperlink r:id="rId50" w:history="1">
              <w:r w:rsidRPr="00304B49">
                <w:rPr>
                  <w:rStyle w:val="Hyperlink"/>
                  <w:b/>
                  <w:bCs/>
                  <w:sz w:val="16"/>
                  <w:szCs w:val="16"/>
                </w:rPr>
                <w:t>Pragmatic AI Guidance for Clinicians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(2025)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1CD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National guidance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97E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(b)/(c) </w:t>
            </w:r>
            <w:hyperlink r:id="rId51" w:history="1">
              <w:r w:rsidRPr="00CB6BBC">
                <w:rPr>
                  <w:rStyle w:val="Hyperlink"/>
                  <w:sz w:val="16"/>
                  <w:szCs w:val="16"/>
                </w:rPr>
                <w:t>CC BY-NC-ND 4.0 (ACSQHC)</w:t>
              </w:r>
            </w:hyperlink>
            <w:r>
              <w:rPr>
                <w:color w:val="000000"/>
                <w:sz w:val="16"/>
                <w:szCs w:val="16"/>
              </w:rPr>
              <w:t xml:space="preserve"> — exact copies only; adaptation needs permission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5D2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Health services, clinicians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D3C2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Deployment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A3FF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Safety-and-quality expectations when AI tools enter clinical care — the deployment benchmark for translational projects.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5F59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Current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DD5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Deployment-focused, not design-stage</w:t>
            </w:r>
          </w:p>
        </w:tc>
      </w:tr>
      <w:tr w:rsidR="00B91954" w14:paraId="29038ED6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D267" w14:textId="36D0BC54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A8D6A" w14:textId="77777777" w:rsidR="00B91954" w:rsidRDefault="00B91954" w:rsidP="008D4295">
            <w:r>
              <w:rPr>
                <w:b/>
                <w:bCs/>
                <w:color w:val="000000"/>
                <w:sz w:val="16"/>
                <w:szCs w:val="16"/>
              </w:rPr>
              <w:t xml:space="preserve">AHPRA / National Boards guidance on </w:t>
            </w:r>
            <w:hyperlink r:id="rId52" w:history="1">
              <w:r w:rsidRPr="00D11BDE">
                <w:rPr>
                  <w:rStyle w:val="Hyperlink"/>
                  <w:b/>
                  <w:bCs/>
                  <w:sz w:val="16"/>
                  <w:szCs w:val="16"/>
                </w:rPr>
                <w:t>Meeting your professional obligations when using Artificial Intelligence in healthcare</w:t>
              </w:r>
            </w:hyperlink>
            <w:r w:rsidRPr="009D5DA5"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/>
                <w:sz w:val="16"/>
                <w:szCs w:val="16"/>
              </w:rPr>
              <w:t>(2025)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FE6B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Regulator guidance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A23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(c) © AHPRA — personal/organisational use permitted; </w:t>
            </w:r>
            <w:proofErr w:type="gramStart"/>
            <w:r>
              <w:rPr>
                <w:color w:val="000000"/>
                <w:sz w:val="16"/>
                <w:szCs w:val="16"/>
              </w:rPr>
              <w:t>otherwise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permission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33C2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Registered health practitioners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56A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Deployment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4D3D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Professional obligations when practitioners use AI; directly relevant to clinician-researchers and embedded studies.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F79E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Current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7A5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Practice-focused</w:t>
            </w:r>
          </w:p>
        </w:tc>
      </w:tr>
      <w:tr w:rsidR="00B91954" w14:paraId="10F27EB0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6DCE" w14:textId="00D5BC0F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24F1" w14:textId="77777777" w:rsidR="00B91954" w:rsidRDefault="00B91954" w:rsidP="008D4295">
            <w:r>
              <w:rPr>
                <w:b/>
                <w:bCs/>
                <w:color w:val="000000"/>
                <w:sz w:val="16"/>
                <w:szCs w:val="16"/>
              </w:rPr>
              <w:t xml:space="preserve">Professional college AI standards (e.g. </w:t>
            </w:r>
            <w:hyperlink r:id="rId53" w:history="1">
              <w:r w:rsidRPr="009E16A6">
                <w:rPr>
                  <w:rStyle w:val="Hyperlink"/>
                  <w:b/>
                  <w:bCs/>
                  <w:sz w:val="16"/>
                  <w:szCs w:val="16"/>
                </w:rPr>
                <w:t>RANZCR Standards of Practice for AI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>; RACGP; ACRRM)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18B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Professional standards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75F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(c) © colleges — some resources member-gated; reuse needs permission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F2E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Clinician-researchers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58A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Validation; deployment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970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Discipline-specific expectations (radiology AI, AI scribes) that shape study design and clinician participation.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760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Actively developed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E07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Uneven coverage across disciplines</w:t>
            </w:r>
          </w:p>
        </w:tc>
      </w:tr>
      <w:tr w:rsidR="00B91954" w14:paraId="746A48B6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D06C" w14:textId="229C4140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98B4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Federal anti-discrimination law (</w:t>
            </w:r>
            <w:hyperlink r:id="rId54" w:history="1">
              <w:r w:rsidRPr="00BA0719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Racial Discrimination Act 1975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>,</w:t>
            </w:r>
          </w:p>
          <w:p w14:paraId="7F18E038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hyperlink r:id="rId55" w:history="1">
              <w:r w:rsidRPr="00F31D9C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Sex Discrimination Act 1984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>,</w:t>
            </w:r>
          </w:p>
          <w:p w14:paraId="785EB256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  <w:hyperlink r:id="rId56" w:history="1">
              <w:r w:rsidRPr="00393A57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Disability Discrimination Act 1992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, </w:t>
            </w:r>
          </w:p>
          <w:p w14:paraId="63EC7FF5" w14:textId="77777777" w:rsidR="00B91954" w:rsidRDefault="00B91954" w:rsidP="008D4295">
            <w:hyperlink r:id="rId57" w:history="1">
              <w:r w:rsidRPr="006F540A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Age Discrimination Act 2004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5B77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30E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58" w:history="1">
              <w:r w:rsidRPr="00AB1DD8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(Federal Register of Legislation)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143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All entities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9F8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Model development; deployment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E40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primary legal hook for algorithmic bias in health AI — central to fairness analyses and bias-liability questions.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39BE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Stable; technology-neutral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14E0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 AI-specific provisions; complaint-based enforcement</w:t>
            </w:r>
          </w:p>
        </w:tc>
      </w:tr>
      <w:tr w:rsidR="00B91954" w14:paraId="0796189B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71D8" w14:textId="5F7FF7C3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02B89" w14:textId="77777777" w:rsidR="00B91954" w:rsidRDefault="00B91954" w:rsidP="008D4295">
            <w:hyperlink r:id="rId59" w:history="1">
              <w:r w:rsidRPr="000A0D70">
                <w:rPr>
                  <w:rStyle w:val="Hyperlink"/>
                  <w:b/>
                  <w:bCs/>
                  <w:sz w:val="16"/>
                  <w:szCs w:val="16"/>
                </w:rPr>
                <w:t>AHRC Human Rights and Technology report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(2021) + subsequent AI work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E5D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Commission recommendations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9008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3.0 (AHRC)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886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Government, organisations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464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Model development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3B5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Bias, transparency and human-rights framing for automated decision-making in Australia.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2C7D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Foundational; partially actioned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8E06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binding</w:t>
            </w:r>
          </w:p>
        </w:tc>
      </w:tr>
      <w:tr w:rsidR="00B91954" w14:paraId="6E203F66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9A8C" w14:textId="4B50CC11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7B516" w14:textId="77777777" w:rsidR="00B91954" w:rsidRDefault="00B91954" w:rsidP="008D4295">
            <w:r>
              <w:rPr>
                <w:b/>
                <w:bCs/>
                <w:color w:val="000000"/>
                <w:sz w:val="16"/>
                <w:szCs w:val="16"/>
              </w:rPr>
              <w:t>Australian Consumer Law (CCA Sch 2)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111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822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(Federal Register of Legislation)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355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Suppliers, developers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0422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Deployment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01A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Misleading conduct in AI performance claims; product liability for software outside the TGA perimeter.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269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Stable; ACCC active on digital markets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DD7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health- or AI-specific</w:t>
            </w:r>
          </w:p>
        </w:tc>
      </w:tr>
      <w:tr w:rsidR="00B91954" w14:paraId="76BF69F8" w14:textId="77777777" w:rsidTr="003E460D">
        <w:trPr>
          <w:cantSplit/>
        </w:trPr>
        <w:tc>
          <w:tcPr>
            <w:tcW w:w="395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2117" w14:textId="75B1909F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B6511" w14:textId="77777777" w:rsidR="00B91954" w:rsidRDefault="00B91954" w:rsidP="008D4295">
            <w:hyperlink r:id="rId60" w:history="1">
              <w:r w:rsidRPr="00443634">
                <w:rPr>
                  <w:rStyle w:val="Hyperlink"/>
                  <w:b/>
                  <w:bCs/>
                  <w:sz w:val="16"/>
                  <w:szCs w:val="16"/>
                </w:rPr>
                <w:t>NHMRC Statement on Consumer and Community Involvement in Health and Medical Research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(2026)</w:t>
            </w:r>
          </w:p>
        </w:tc>
        <w:tc>
          <w:tcPr>
            <w:tcW w:w="1669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24B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National guidance</w:t>
            </w:r>
          </w:p>
        </w:tc>
        <w:tc>
          <w:tcPr>
            <w:tcW w:w="1855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CE9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(b) </w:t>
            </w:r>
            <w:hyperlink r:id="rId61" w:history="1">
              <w:r w:rsidRPr="00637CD7">
                <w:rPr>
                  <w:rStyle w:val="Hyperlink"/>
                  <w:sz w:val="16"/>
                  <w:szCs w:val="16"/>
                </w:rPr>
                <w:t>CC BY 4.0</w:t>
              </w:r>
            </w:hyperlink>
            <w:r>
              <w:rPr>
                <w:color w:val="000000"/>
                <w:sz w:val="16"/>
                <w:szCs w:val="16"/>
              </w:rPr>
              <w:t xml:space="preserve"> (NHMRC)</w:t>
            </w:r>
          </w:p>
        </w:tc>
        <w:tc>
          <w:tcPr>
            <w:tcW w:w="1342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04B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Researchers, institutions</w:t>
            </w:r>
          </w:p>
        </w:tc>
        <w:tc>
          <w:tcPr>
            <w:tcW w:w="1386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F79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Design; ethics approval</w:t>
            </w:r>
          </w:p>
        </w:tc>
        <w:tc>
          <w:tcPr>
            <w:tcW w:w="3209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49E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Funders and HRECs increasingly expect co-design, including of AI tools and data governance.</w:t>
            </w:r>
          </w:p>
        </w:tc>
        <w:tc>
          <w:tcPr>
            <w:tcW w:w="795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B65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Established</w:t>
            </w:r>
          </w:p>
        </w:tc>
        <w:tc>
          <w:tcPr>
            <w:tcW w:w="2132" w:type="dxa"/>
            <w:tcBorders>
              <w:bottom w:val="single" w:sz="2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769B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Aspirational; uneven institutional uptake</w:t>
            </w:r>
          </w:p>
        </w:tc>
      </w:tr>
      <w:tr w:rsidR="00B91954" w14:paraId="4F95E839" w14:textId="77777777" w:rsidTr="00B43D24">
        <w:trPr>
          <w:cantSplit/>
        </w:trPr>
        <w:tc>
          <w:tcPr>
            <w:tcW w:w="15398" w:type="dxa"/>
            <w:gridSpan w:val="9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13CCA" w14:textId="77777777" w:rsidR="00B91954" w:rsidRPr="005F670C" w:rsidRDefault="00B91954" w:rsidP="005F670C">
            <w:pPr>
              <w:rPr>
                <w:b/>
                <w:bCs/>
                <w:sz w:val="16"/>
                <w:szCs w:val="16"/>
              </w:rPr>
            </w:pPr>
            <w:r w:rsidRPr="00B43D24">
              <w:rPr>
                <w:b/>
                <w:bCs/>
                <w:color w:val="1F3A5F"/>
                <w:sz w:val="17"/>
                <w:szCs w:val="17"/>
              </w:rPr>
              <w:t>TIER 3 — AI governance frameworks and policy direction (context and partner obligations)</w:t>
            </w:r>
          </w:p>
        </w:tc>
      </w:tr>
      <w:tr w:rsidR="00B91954" w14:paraId="1839F7F9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C08D" w14:textId="38062BE8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C600" w14:textId="77777777" w:rsidR="00B91954" w:rsidRDefault="00B91954" w:rsidP="008D4295">
            <w:hyperlink r:id="rId62" w:history="1">
              <w:r w:rsidRPr="00387593">
                <w:rPr>
                  <w:rStyle w:val="Hyperlink"/>
                  <w:b/>
                  <w:bCs/>
                  <w:sz w:val="16"/>
                  <w:szCs w:val="16"/>
                </w:rPr>
                <w:t>National AI Centre - Guidance for AI Adoption — Foundations &amp; Implementation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(Oct 2025)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D39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Voluntary national guidance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BA07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(DISR/NAIC)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208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All organisations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4AA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Model development; deployment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0B2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 xml:space="preserve">Now the primary Commonwealth guidance (the AI6 practices); </w:t>
            </w:r>
            <w:r w:rsidRPr="00362D78">
              <w:rPr>
                <w:b/>
                <w:bCs/>
                <w:color w:val="000000"/>
                <w:sz w:val="16"/>
                <w:szCs w:val="16"/>
              </w:rPr>
              <w:t>superseded the Voluntary AI Safety Standard</w:t>
            </w:r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E35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Current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7147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Voluntary; generic rather than health-specific</w:t>
            </w:r>
          </w:p>
        </w:tc>
      </w:tr>
      <w:tr w:rsidR="00B91954" w14:paraId="0B2B30EB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C8E7" w14:textId="5FCF3EC4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F74D" w14:textId="77777777" w:rsidR="00B91954" w:rsidRDefault="00B91954" w:rsidP="008D4295">
            <w:hyperlink r:id="rId63" w:history="1">
              <w:r w:rsidRPr="00DD36C7">
                <w:rPr>
                  <w:rStyle w:val="Hyperlink"/>
                  <w:b/>
                  <w:bCs/>
                  <w:sz w:val="16"/>
                  <w:szCs w:val="16"/>
                </w:rPr>
                <w:t>Australia’s AI Ethics Principles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(2019 – updated 2025)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ECF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Voluntary policy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0703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(DISR)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592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All sectors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01A1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All stages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EEA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The normative baseline cross-referenced by nearly all later Australian AI guidance.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3FC1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06F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High-level; voluntary</w:t>
            </w:r>
          </w:p>
        </w:tc>
      </w:tr>
      <w:tr w:rsidR="00B91954" w14:paraId="1B70A223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5767" w14:textId="2CA7DD17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5CE75" w14:textId="77777777" w:rsidR="00B91954" w:rsidRDefault="00B91954" w:rsidP="008D4295">
            <w:hyperlink r:id="rId64" w:history="1">
              <w:r w:rsidRPr="00AD102A">
                <w:rPr>
                  <w:rStyle w:val="Hyperlink"/>
                  <w:b/>
                  <w:bCs/>
                  <w:sz w:val="16"/>
                  <w:szCs w:val="16"/>
                </w:rPr>
                <w:t>National Framework for the Assurance of AI in Government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(2024)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0F4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Cross-jurisdictional framework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208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(DTA/Finance)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515E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Government agencies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664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Deployment (public sector)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903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Assurance expectations for AI used by public health bodies and government research partners.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5EFA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Stable, foundational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046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Requires local implementation</w:t>
            </w:r>
          </w:p>
        </w:tc>
      </w:tr>
      <w:tr w:rsidR="00B91954" w14:paraId="401D948E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CD77" w14:textId="3ED986CF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F2347" w14:textId="77777777" w:rsidR="00B91954" w:rsidRDefault="00B91954" w:rsidP="008D4295">
            <w:hyperlink r:id="rId65" w:history="1">
              <w:r w:rsidRPr="00E40A44">
                <w:rPr>
                  <w:rStyle w:val="Hyperlink"/>
                  <w:b/>
                  <w:bCs/>
                  <w:sz w:val="16"/>
                  <w:szCs w:val="16"/>
                </w:rPr>
                <w:t>AI Policy: Responsible Use of AI in Government v2.0</w:t>
              </w:r>
            </w:hyperlink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9147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Mandatory (</w:t>
            </w:r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agencies)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3D40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(DTA)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06FA" w14:textId="77777777" w:rsidR="00B91954" w:rsidRDefault="00B91954" w:rsidP="008D4295"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agencies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6BC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Deployment (</w:t>
            </w:r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8BA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Binds Commonwealth health bodies participating in or hosting research.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881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Versioned, actively maintained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C9E2" w14:textId="77777777" w:rsidR="00B91954" w:rsidRDefault="00B91954" w:rsidP="008D4295"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government only</w:t>
            </w:r>
          </w:p>
        </w:tc>
      </w:tr>
      <w:tr w:rsidR="00B91954" w14:paraId="502A2673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E0EE" w14:textId="3A1589AB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E008" w14:textId="77777777" w:rsidR="00B91954" w:rsidRDefault="00B91954" w:rsidP="008D4295">
            <w:hyperlink r:id="rId66" w:history="1">
              <w:r w:rsidRPr="005D0042">
                <w:rPr>
                  <w:rStyle w:val="Hyperlink"/>
                  <w:b/>
                  <w:bCs/>
                  <w:sz w:val="16"/>
                  <w:szCs w:val="16"/>
                </w:rPr>
                <w:t>Data Governance Framework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(2025)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4570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Mandatory (</w:t>
            </w:r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agencies)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129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(Finance)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FD8C" w14:textId="77777777" w:rsidR="00B91954" w:rsidRDefault="00B91954" w:rsidP="008D4295"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agencies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B88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management (</w:t>
            </w:r>
            <w:proofErr w:type="spellStart"/>
            <w:r>
              <w:rPr>
                <w:color w:val="000000"/>
                <w:sz w:val="16"/>
                <w:szCs w:val="16"/>
              </w:rPr>
              <w:t>Cth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F69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quality and re-use standards relevant when partnering with Commonwealth custodians.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1AF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Recently updated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2A1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AI-specific</w:t>
            </w:r>
          </w:p>
        </w:tc>
      </w:tr>
      <w:tr w:rsidR="00B91954" w14:paraId="3127E80C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DF0B" w14:textId="674F301F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69DF5" w14:textId="77777777" w:rsidR="00B91954" w:rsidRDefault="00B91954" w:rsidP="008D4295">
            <w:hyperlink r:id="rId67" w:history="1">
              <w:r w:rsidRPr="004032B5">
                <w:rPr>
                  <w:rStyle w:val="Hyperlink"/>
                  <w:b/>
                  <w:bCs/>
                  <w:sz w:val="16"/>
                  <w:szCs w:val="16"/>
                </w:rPr>
                <w:t>Qld AI Governance Policy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/ QGEA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6AEA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Mandatory (Qld Government)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7E12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(Qld Government)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CD1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Qld public sector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154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Deployment (Qld)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A907F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Binds Queensland Health and HHS partners — the operative AI rules for most Qld-based health data research.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140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Updated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A493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Jurisdiction-specific; check equivalents in other states</w:t>
            </w:r>
          </w:p>
        </w:tc>
      </w:tr>
      <w:tr w:rsidR="00B91954" w14:paraId="0D94938F" w14:textId="77777777" w:rsidTr="003E460D">
        <w:trPr>
          <w:cantSplit/>
        </w:trPr>
        <w:tc>
          <w:tcPr>
            <w:tcW w:w="3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DF41E" w14:textId="63F60EA5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B0D7C" w14:textId="77777777" w:rsidR="00B91954" w:rsidRDefault="00B91954" w:rsidP="008D4295">
            <w:hyperlink r:id="rId68" w:history="1">
              <w:r w:rsidRPr="0089466D">
                <w:rPr>
                  <w:rStyle w:val="Hyperlink"/>
                  <w:b/>
                  <w:bCs/>
                  <w:sz w:val="16"/>
                  <w:szCs w:val="16"/>
                </w:rPr>
                <w:t>Use of generative AI in Queensland Government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(2025)</w:t>
            </w:r>
          </w:p>
        </w:tc>
        <w:tc>
          <w:tcPr>
            <w:tcW w:w="1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237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Government guidance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68C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(Qld Government)</w:t>
            </w:r>
          </w:p>
        </w:tc>
        <w:tc>
          <w:tcPr>
            <w:tcW w:w="13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0D8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Qld public servants</w:t>
            </w:r>
          </w:p>
        </w:tc>
        <w:tc>
          <w:tcPr>
            <w:tcW w:w="13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DF1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Tool use</w:t>
            </w:r>
          </w:p>
        </w:tc>
        <w:tc>
          <w:tcPr>
            <w:tcW w:w="32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0A84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Day-to-day GenAI use rules applying to Queensland Health staff collaborating on research.</w:t>
            </w:r>
          </w:p>
        </w:tc>
        <w:tc>
          <w:tcPr>
            <w:tcW w:w="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3A2F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Current</w:t>
            </w:r>
          </w:p>
        </w:tc>
        <w:tc>
          <w:tcPr>
            <w:tcW w:w="21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010E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Tool-use focused</w:t>
            </w:r>
          </w:p>
        </w:tc>
      </w:tr>
      <w:tr w:rsidR="00B91954" w14:paraId="3D2CD9DB" w14:textId="77777777" w:rsidTr="003E460D">
        <w:trPr>
          <w:cantSplit/>
        </w:trPr>
        <w:tc>
          <w:tcPr>
            <w:tcW w:w="3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862E" w14:textId="719CB3AB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5327" w14:textId="77777777" w:rsidR="00B91954" w:rsidRDefault="00B91954" w:rsidP="008D4295">
            <w:hyperlink r:id="rId69" w:history="1">
              <w:r w:rsidRPr="00F87266">
                <w:rPr>
                  <w:rStyle w:val="Hyperlink"/>
                  <w:b/>
                  <w:bCs/>
                  <w:sz w:val="16"/>
                  <w:szCs w:val="16"/>
                </w:rPr>
                <w:t>National AI Plan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(Dec 2025)</w:t>
            </w:r>
          </w:p>
        </w:tc>
        <w:tc>
          <w:tcPr>
            <w:tcW w:w="16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BAB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Commonwealth policy</w:t>
            </w:r>
          </w:p>
        </w:tc>
        <w:tc>
          <w:tcPr>
            <w:tcW w:w="1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BA7A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(DISR)</w:t>
            </w:r>
          </w:p>
        </w:tc>
        <w:tc>
          <w:tcPr>
            <w:tcW w:w="13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B4DC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Government, industry, research</w:t>
            </w:r>
          </w:p>
        </w:tc>
        <w:tc>
          <w:tcPr>
            <w:tcW w:w="138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3367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Strategic context</w:t>
            </w:r>
          </w:p>
        </w:tc>
        <w:tc>
          <w:tcPr>
            <w:tcW w:w="320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3A3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Confirms reliance on existing laws plus voluntary guidance; shelved the proposed mandatory guardrails; established the AI Safety Institute.</w:t>
            </w:r>
          </w:p>
        </w:tc>
        <w:tc>
          <w:tcPr>
            <w:tcW w:w="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E1DC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Current; signals future direction</w:t>
            </w:r>
          </w:p>
        </w:tc>
        <w:tc>
          <w:tcPr>
            <w:tcW w:w="213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1D9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binding; no operational detail</w:t>
            </w:r>
          </w:p>
        </w:tc>
      </w:tr>
      <w:tr w:rsidR="00B91954" w14:paraId="798ED704" w14:textId="77777777" w:rsidTr="003E460D">
        <w:trPr>
          <w:cantSplit/>
        </w:trPr>
        <w:tc>
          <w:tcPr>
            <w:tcW w:w="395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7767" w14:textId="23A59E42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615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AA3F" w14:textId="77777777" w:rsidR="00B91954" w:rsidRDefault="00B91954" w:rsidP="008D4295">
            <w:hyperlink r:id="rId70" w:history="1">
              <w:r w:rsidRPr="001C0232">
                <w:rPr>
                  <w:rStyle w:val="Hyperlink"/>
                  <w:b/>
                  <w:bCs/>
                  <w:sz w:val="16"/>
                  <w:szCs w:val="16"/>
                </w:rPr>
                <w:t>Australian AI Safety Institute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69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083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Commonwealth institution</w:t>
            </w:r>
          </w:p>
        </w:tc>
        <w:tc>
          <w:tcPr>
            <w:tcW w:w="1855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950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</w:t>
            </w:r>
          </w:p>
        </w:tc>
        <w:tc>
          <w:tcPr>
            <w:tcW w:w="1342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0B7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Government, regulators, researchers</w:t>
            </w:r>
          </w:p>
        </w:tc>
        <w:tc>
          <w:tcPr>
            <w:tcW w:w="1386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FF1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Horizon scanning</w:t>
            </w:r>
          </w:p>
        </w:tc>
        <w:tc>
          <w:tcPr>
            <w:tcW w:w="3209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0E6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Shapes future AI risk-assessment expectations through analysing and testing new AI models, support regulators in responding, shape safe AI development and deployment, monitoring and gap analysis.</w:t>
            </w:r>
          </w:p>
        </w:tc>
        <w:tc>
          <w:tcPr>
            <w:tcW w:w="795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A6D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New</w:t>
            </w:r>
          </w:p>
        </w:tc>
        <w:tc>
          <w:tcPr>
            <w:tcW w:w="2132" w:type="dxa"/>
            <w:tcBorders>
              <w:bottom w:val="single" w:sz="2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35D4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Advisory only; no enforcement powers</w:t>
            </w:r>
          </w:p>
        </w:tc>
      </w:tr>
    </w:tbl>
    <w:p w14:paraId="138DBEE2" w14:textId="35976E81" w:rsidR="003E460D" w:rsidRDefault="003E460D"/>
    <w:p w14:paraId="3B689135" w14:textId="77777777" w:rsidR="003E460D" w:rsidRDefault="003E460D">
      <w:r>
        <w:br w:type="column"/>
      </w:r>
    </w:p>
    <w:tbl>
      <w:tblPr>
        <w:tblW w:w="1539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2472"/>
        <w:gridCol w:w="1472"/>
        <w:gridCol w:w="1899"/>
        <w:gridCol w:w="1394"/>
        <w:gridCol w:w="1442"/>
        <w:gridCol w:w="2679"/>
        <w:gridCol w:w="1339"/>
        <w:gridCol w:w="2278"/>
      </w:tblGrid>
      <w:tr w:rsidR="00B91954" w14:paraId="4194AF74" w14:textId="77777777" w:rsidTr="00B43D24">
        <w:trPr>
          <w:cantSplit/>
        </w:trPr>
        <w:tc>
          <w:tcPr>
            <w:tcW w:w="15398" w:type="dxa"/>
            <w:gridSpan w:val="9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AD4F" w14:textId="77777777" w:rsidR="00B91954" w:rsidRPr="005F670C" w:rsidRDefault="00B91954" w:rsidP="005F670C">
            <w:pPr>
              <w:rPr>
                <w:b/>
                <w:bCs/>
                <w:sz w:val="16"/>
                <w:szCs w:val="16"/>
              </w:rPr>
            </w:pPr>
            <w:r w:rsidRPr="005F670C">
              <w:rPr>
                <w:b/>
                <w:bCs/>
                <w:sz w:val="16"/>
                <w:szCs w:val="16"/>
              </w:rPr>
              <w:t>TIER 4 — Adjacent and situational (relevant to specific projects or institutional settings)</w:t>
            </w:r>
          </w:p>
        </w:tc>
      </w:tr>
      <w:tr w:rsidR="00B91954" w14:paraId="73F1BAA3" w14:textId="77777777" w:rsidTr="00B43D24">
        <w:trPr>
          <w:cantSplit/>
        </w:trPr>
        <w:tc>
          <w:tcPr>
            <w:tcW w:w="4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BC372" w14:textId="23B51CA0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4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598C6" w14:textId="77777777" w:rsidR="00B91954" w:rsidRDefault="00B91954" w:rsidP="008D4295">
            <w:hyperlink r:id="rId71" w:history="1">
              <w:r w:rsidRPr="00C557E4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Copyright Act 1968</w:t>
              </w:r>
            </w:hyperlink>
            <w:r w:rsidRPr="00096A8C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/>
                <w:sz w:val="16"/>
                <w:szCs w:val="16"/>
              </w:rPr>
              <w:t>/ IP framework</w:t>
            </w:r>
          </w:p>
        </w:tc>
        <w:tc>
          <w:tcPr>
            <w:tcW w:w="14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2ABC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</w:t>
            </w:r>
          </w:p>
        </w:tc>
        <w:tc>
          <w:tcPr>
            <w:tcW w:w="18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52DA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(Federal Register of Legislation)</w:t>
            </w:r>
          </w:p>
        </w:tc>
        <w:tc>
          <w:tcPr>
            <w:tcW w:w="13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9F1C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Developers, researchers</w:t>
            </w:r>
          </w:p>
        </w:tc>
        <w:tc>
          <w:tcPr>
            <w:tcW w:w="14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5D29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Model development</w:t>
            </w:r>
          </w:p>
        </w:tc>
        <w:tc>
          <w:tcPr>
            <w:tcW w:w="26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D718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Training data, text-and-data mining and ownership of AI outputs when building models on clinical corpora.</w:t>
            </w:r>
          </w:p>
        </w:tc>
        <w:tc>
          <w:tcPr>
            <w:tcW w:w="13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282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Under review (AI and copyright)</w:t>
            </w:r>
          </w:p>
        </w:tc>
        <w:tc>
          <w:tcPr>
            <w:tcW w:w="2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6823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 TDM exception; output ownership unsettled</w:t>
            </w:r>
          </w:p>
        </w:tc>
      </w:tr>
      <w:tr w:rsidR="00B91954" w14:paraId="666E08D5" w14:textId="77777777" w:rsidTr="00B43D24">
        <w:trPr>
          <w:cantSplit/>
        </w:trPr>
        <w:tc>
          <w:tcPr>
            <w:tcW w:w="4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FAB3" w14:textId="7617E703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4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65B1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  <w:hyperlink r:id="rId72" w:history="1">
              <w:r w:rsidRPr="004D7BB3">
                <w:rPr>
                  <w:rStyle w:val="Hyperlink"/>
                  <w:b/>
                  <w:bCs/>
                  <w:sz w:val="16"/>
                  <w:szCs w:val="16"/>
                </w:rPr>
                <w:t>ISO/IEC 42001 (AI management systems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); </w:t>
            </w:r>
          </w:p>
          <w:p w14:paraId="498907C6" w14:textId="77777777" w:rsidR="00B91954" w:rsidRDefault="00B91954" w:rsidP="008D4295">
            <w:pPr>
              <w:rPr>
                <w:b/>
                <w:bCs/>
                <w:color w:val="000000"/>
                <w:sz w:val="16"/>
                <w:szCs w:val="16"/>
              </w:rPr>
            </w:pPr>
          </w:p>
          <w:p w14:paraId="28FC13EB" w14:textId="77777777" w:rsidR="00B91954" w:rsidRDefault="00B91954" w:rsidP="008D4295">
            <w:r>
              <w:rPr>
                <w:b/>
                <w:bCs/>
                <w:color w:val="000000"/>
                <w:sz w:val="16"/>
                <w:szCs w:val="16"/>
              </w:rPr>
              <w:t>NIST AI RMF</w:t>
            </w:r>
          </w:p>
        </w:tc>
        <w:tc>
          <w:tcPr>
            <w:tcW w:w="14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E1C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Voluntary international standards</w:t>
            </w:r>
          </w:p>
        </w:tc>
        <w:tc>
          <w:tcPr>
            <w:tcW w:w="18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787F6" w14:textId="77777777" w:rsidR="00B91954" w:rsidRDefault="00B91954" w:rsidP="008D4295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(d) </w:t>
            </w:r>
            <w:hyperlink r:id="rId73" w:history="1">
              <w:r w:rsidRPr="00176E86">
                <w:rPr>
                  <w:rStyle w:val="Hyperlink"/>
                  <w:sz w:val="16"/>
                  <w:szCs w:val="16"/>
                </w:rPr>
                <w:t>ISO/IEC 42001: purchase (ISO / Standards Australia);</w:t>
              </w:r>
            </w:hyperlink>
            <w:r>
              <w:rPr>
                <w:color w:val="000000"/>
                <w:sz w:val="16"/>
                <w:szCs w:val="16"/>
              </w:rPr>
              <w:t xml:space="preserve"> $242.18 AUD</w:t>
            </w:r>
          </w:p>
          <w:p w14:paraId="29179FF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(a) NIST AI RMF: US public domain</w:t>
            </w:r>
          </w:p>
        </w:tc>
        <w:tc>
          <w:tcPr>
            <w:tcW w:w="13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980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Institutions, research organisations</w:t>
            </w:r>
          </w:p>
        </w:tc>
        <w:tc>
          <w:tcPr>
            <w:tcW w:w="1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217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Assurance</w:t>
            </w:r>
          </w:p>
        </w:tc>
        <w:tc>
          <w:tcPr>
            <w:tcW w:w="26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41F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Increasingly requested in collaborations, grants and procurement as assurance evidence.</w:t>
            </w:r>
          </w:p>
        </w:tc>
        <w:tc>
          <w:tcPr>
            <w:tcW w:w="133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CB75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Maintained</w:t>
            </w:r>
          </w:p>
        </w:tc>
        <w:tc>
          <w:tcPr>
            <w:tcW w:w="22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3BD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Not Australian law; certification cost</w:t>
            </w:r>
          </w:p>
        </w:tc>
      </w:tr>
      <w:tr w:rsidR="00B91954" w14:paraId="6226669E" w14:textId="77777777" w:rsidTr="00B43D24">
        <w:trPr>
          <w:cantSplit/>
        </w:trPr>
        <w:tc>
          <w:tcPr>
            <w:tcW w:w="4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C4E6" w14:textId="0E064379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4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F6626" w14:textId="77777777" w:rsidR="00B91954" w:rsidRDefault="00B91954" w:rsidP="008D4295">
            <w:hyperlink r:id="rId74" w:history="1">
              <w:r w:rsidRPr="00862A92">
                <w:rPr>
                  <w:rStyle w:val="Hyperlink"/>
                  <w:b/>
                  <w:bCs/>
                  <w:sz w:val="16"/>
                  <w:szCs w:val="16"/>
                </w:rPr>
                <w:t>EU GDPR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+ </w:t>
            </w:r>
            <w:hyperlink r:id="rId75" w:history="1">
              <w:r w:rsidRPr="00B45A1E">
                <w:rPr>
                  <w:rStyle w:val="Hyperlink"/>
                  <w:b/>
                  <w:bCs/>
                  <w:sz w:val="16"/>
                  <w:szCs w:val="16"/>
                </w:rPr>
                <w:t>EU AI Act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(extraterritorial reach)</w:t>
            </w:r>
          </w:p>
        </w:tc>
        <w:tc>
          <w:tcPr>
            <w:tcW w:w="14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E9B4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where an EU nexus exists</w:t>
            </w:r>
          </w:p>
        </w:tc>
        <w:tc>
          <w:tcPr>
            <w:tcW w:w="18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5DC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EUR-Lex — reuse permitted with source acknowledgment</w:t>
            </w:r>
          </w:p>
        </w:tc>
        <w:tc>
          <w:tcPr>
            <w:tcW w:w="13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1A0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International / multi-site collaborations</w:t>
            </w:r>
          </w:p>
        </w:tc>
        <w:tc>
          <w:tcPr>
            <w:tcW w:w="14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085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Multi-site research</w:t>
            </w:r>
          </w:p>
        </w:tc>
        <w:tc>
          <w:tcPr>
            <w:tcW w:w="26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836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Applies where EU partners or EU data subjects are involved; AI Act obligations phase in to 2027.</w:t>
            </w:r>
          </w:p>
        </w:tc>
        <w:tc>
          <w:tcPr>
            <w:tcW w:w="13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889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AI Act phasing; Digital Omnibus may amend</w:t>
            </w:r>
          </w:p>
        </w:tc>
        <w:tc>
          <w:tcPr>
            <w:tcW w:w="2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ECF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EU nexus only; compliance complexity</w:t>
            </w:r>
          </w:p>
        </w:tc>
      </w:tr>
      <w:tr w:rsidR="00B91954" w14:paraId="79991E77" w14:textId="77777777" w:rsidTr="00B43D24">
        <w:trPr>
          <w:cantSplit/>
        </w:trPr>
        <w:tc>
          <w:tcPr>
            <w:tcW w:w="4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9FA6" w14:textId="2157234B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4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A4DB" w14:textId="77777777" w:rsidR="00B91954" w:rsidRDefault="00B91954" w:rsidP="008D4295">
            <w:hyperlink r:id="rId76" w:history="1">
              <w:r w:rsidRPr="000808BB">
                <w:rPr>
                  <w:rStyle w:val="Hyperlink"/>
                  <w:b/>
                  <w:bCs/>
                  <w:sz w:val="16"/>
                  <w:szCs w:val="16"/>
                </w:rPr>
                <w:t>ACSC Essential Eight</w:t>
              </w:r>
            </w:hyperlink>
          </w:p>
        </w:tc>
        <w:tc>
          <w:tcPr>
            <w:tcW w:w="14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41A6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National guidance</w:t>
            </w:r>
          </w:p>
        </w:tc>
        <w:tc>
          <w:tcPr>
            <w:tcW w:w="18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39D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(cyber.gov.au)</w:t>
            </w:r>
          </w:p>
        </w:tc>
        <w:tc>
          <w:tcPr>
            <w:tcW w:w="13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0AA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All organisations</w:t>
            </w:r>
          </w:p>
        </w:tc>
        <w:tc>
          <w:tcPr>
            <w:tcW w:w="1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8EA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security</w:t>
            </w:r>
          </w:p>
        </w:tc>
        <w:tc>
          <w:tcPr>
            <w:tcW w:w="26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C580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Baseline cyber controls custodians expect of institutions holding sensitive health data.</w:t>
            </w:r>
          </w:p>
        </w:tc>
        <w:tc>
          <w:tcPr>
            <w:tcW w:w="133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65A0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Updated periodically</w:t>
            </w:r>
          </w:p>
        </w:tc>
        <w:tc>
          <w:tcPr>
            <w:tcW w:w="22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9DD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Baseline only</w:t>
            </w:r>
          </w:p>
        </w:tc>
      </w:tr>
      <w:tr w:rsidR="00B91954" w14:paraId="3D735E11" w14:textId="77777777" w:rsidTr="00B43D24">
        <w:trPr>
          <w:cantSplit/>
        </w:trPr>
        <w:tc>
          <w:tcPr>
            <w:tcW w:w="4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2A183" w14:textId="26F1BFC7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4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CFD1" w14:textId="77777777" w:rsidR="00B91954" w:rsidRDefault="00B91954" w:rsidP="008D4295">
            <w:hyperlink r:id="rId77" w:history="1">
              <w:r w:rsidRPr="002554CE">
                <w:rPr>
                  <w:rStyle w:val="Hyperlink"/>
                  <w:b/>
                  <w:bCs/>
                  <w:i/>
                  <w:iCs/>
                  <w:sz w:val="16"/>
                  <w:szCs w:val="16"/>
                </w:rPr>
                <w:t>Security of Critical Infrastructure Act 2018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(SOCI)</w:t>
            </w:r>
          </w:p>
        </w:tc>
        <w:tc>
          <w:tcPr>
            <w:tcW w:w="14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6BBA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Binding law</w:t>
            </w:r>
          </w:p>
        </w:tc>
        <w:tc>
          <w:tcPr>
            <w:tcW w:w="189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B79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 4.0 (Federal Register of Legislation)</w:t>
            </w:r>
          </w:p>
        </w:tc>
        <w:tc>
          <w:tcPr>
            <w:tcW w:w="13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901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Hospitals and health systems as critical infrastructure</w:t>
            </w:r>
          </w:p>
        </w:tc>
        <w:tc>
          <w:tcPr>
            <w:tcW w:w="14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FAEB4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Data security (institutional)</w:t>
            </w:r>
          </w:p>
        </w:tc>
        <w:tc>
          <w:tcPr>
            <w:tcW w:w="26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FC0B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Security obligations on the health systems hosting research data and AI infrastructure.</w:t>
            </w:r>
          </w:p>
        </w:tc>
        <w:tc>
          <w:tcPr>
            <w:tcW w:w="13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04DE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Active regime</w:t>
            </w:r>
          </w:p>
        </w:tc>
        <w:tc>
          <w:tcPr>
            <w:tcW w:w="22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8E7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Institutional, not researcher-level, obligations</w:t>
            </w:r>
          </w:p>
        </w:tc>
      </w:tr>
      <w:tr w:rsidR="00B91954" w14:paraId="3832CF5C" w14:textId="77777777" w:rsidTr="00B43D24">
        <w:trPr>
          <w:cantSplit/>
        </w:trPr>
        <w:tc>
          <w:tcPr>
            <w:tcW w:w="42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C83ED" w14:textId="58EEB264" w:rsidR="00B91954" w:rsidRPr="00B92BD8" w:rsidRDefault="00B91954" w:rsidP="00EA3F01">
            <w:pPr>
              <w:pStyle w:val="ListParagraph"/>
              <w:numPr>
                <w:ilvl w:val="0"/>
                <w:numId w:val="24"/>
              </w:numPr>
              <w:ind w:left="182" w:hanging="142"/>
              <w:rPr>
                <w:sz w:val="16"/>
                <w:szCs w:val="16"/>
              </w:rPr>
            </w:pPr>
          </w:p>
        </w:tc>
        <w:tc>
          <w:tcPr>
            <w:tcW w:w="24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D518" w14:textId="77777777" w:rsidR="00B91954" w:rsidRDefault="00B91954" w:rsidP="008D4295">
            <w:hyperlink r:id="rId78" w:history="1">
              <w:r w:rsidRPr="0083799C">
                <w:rPr>
                  <w:rStyle w:val="Hyperlink"/>
                  <w:b/>
                  <w:bCs/>
                  <w:sz w:val="16"/>
                  <w:szCs w:val="16"/>
                </w:rPr>
                <w:t>Digital Health Strategy</w:t>
              </w:r>
            </w:hyperlink>
            <w:r>
              <w:rPr>
                <w:b/>
                <w:bCs/>
                <w:color w:val="000000"/>
                <w:sz w:val="16"/>
                <w:szCs w:val="16"/>
              </w:rPr>
              <w:t xml:space="preserve"> (2023–28)</w:t>
            </w:r>
          </w:p>
        </w:tc>
        <w:tc>
          <w:tcPr>
            <w:tcW w:w="14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4C3D2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National strategy</w:t>
            </w:r>
          </w:p>
        </w:tc>
        <w:tc>
          <w:tcPr>
            <w:tcW w:w="189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41C8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(b) CC BY-NC 4.0 (Dept of Health / ADHA)</w:t>
            </w:r>
          </w:p>
        </w:tc>
        <w:tc>
          <w:tcPr>
            <w:tcW w:w="13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5E1D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Health sector</w:t>
            </w:r>
          </w:p>
        </w:tc>
        <w:tc>
          <w:tcPr>
            <w:tcW w:w="14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04AD1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Strategic context</w:t>
            </w:r>
          </w:p>
        </w:tc>
        <w:tc>
          <w:tcPr>
            <w:tcW w:w="267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2E3F5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System-level context for interoperability and data infrastructure underpinning research.</w:t>
            </w:r>
          </w:p>
        </w:tc>
        <w:tc>
          <w:tcPr>
            <w:tcW w:w="133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F209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Ongoing</w:t>
            </w:r>
          </w:p>
        </w:tc>
        <w:tc>
          <w:tcPr>
            <w:tcW w:w="227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40C7" w14:textId="77777777" w:rsidR="00B91954" w:rsidRDefault="00B91954" w:rsidP="008D4295">
            <w:r>
              <w:rPr>
                <w:color w:val="000000"/>
                <w:sz w:val="16"/>
                <w:szCs w:val="16"/>
              </w:rPr>
              <w:t>Strategic, not operational</w:t>
            </w:r>
          </w:p>
        </w:tc>
      </w:tr>
    </w:tbl>
    <w:p w14:paraId="3E41B21D" w14:textId="77777777" w:rsidR="00C715FF" w:rsidRDefault="00C715FF"/>
    <w:sectPr w:rsidR="00C715FF" w:rsidSect="00B43D24">
      <w:footerReference w:type="even" r:id="rId79"/>
      <w:footerReference w:type="default" r:id="rId80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83AD52" w14:textId="77777777" w:rsidR="003B6A39" w:rsidRDefault="003B6A39" w:rsidP="001A3B42">
      <w:r>
        <w:separator/>
      </w:r>
    </w:p>
  </w:endnote>
  <w:endnote w:type="continuationSeparator" w:id="0">
    <w:p w14:paraId="7601624C" w14:textId="77777777" w:rsidR="003B6A39" w:rsidRDefault="003B6A39" w:rsidP="001A3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-Roman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49183294"/>
      <w:docPartObj>
        <w:docPartGallery w:val="Page Numbers (Bottom of Page)"/>
        <w:docPartUnique/>
      </w:docPartObj>
    </w:sdtPr>
    <w:sdtContent>
      <w:p w14:paraId="4AFFFD97" w14:textId="5F7A4EFF" w:rsidR="001A3B42" w:rsidRDefault="001A3B42" w:rsidP="003938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930AA3F" w14:textId="77777777" w:rsidR="001A3B42" w:rsidRDefault="001A3B42" w:rsidP="001A3B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27196618"/>
      <w:docPartObj>
        <w:docPartGallery w:val="Page Numbers (Bottom of Page)"/>
        <w:docPartUnique/>
      </w:docPartObj>
    </w:sdtPr>
    <w:sdtContent>
      <w:p w14:paraId="49A9D71A" w14:textId="6234751F" w:rsidR="001A3B42" w:rsidRDefault="001A3B42" w:rsidP="003938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74B0A7" w14:textId="77777777" w:rsidR="001A3B42" w:rsidRDefault="001A3B42" w:rsidP="001A3B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BAE1FA" w14:textId="77777777" w:rsidR="003B6A39" w:rsidRDefault="003B6A39" w:rsidP="001A3B42">
      <w:r>
        <w:separator/>
      </w:r>
    </w:p>
  </w:footnote>
  <w:footnote w:type="continuationSeparator" w:id="0">
    <w:p w14:paraId="78FBF1D5" w14:textId="77777777" w:rsidR="003B6A39" w:rsidRDefault="003B6A39" w:rsidP="001A3B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F1F3A"/>
    <w:multiLevelType w:val="multilevel"/>
    <w:tmpl w:val="600AF9FC"/>
    <w:lvl w:ilvl="0">
      <w:start w:val="1"/>
      <w:numFmt w:val="decimal"/>
      <w:pStyle w:val="numpara1"/>
      <w:lvlText w:val="%1.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numpara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lowerLetter"/>
      <w:pStyle w:val="numpara3"/>
      <w:lvlText w:val="(%3)"/>
      <w:lvlJc w:val="left"/>
      <w:pPr>
        <w:tabs>
          <w:tab w:val="num" w:pos="1361"/>
        </w:tabs>
        <w:ind w:left="1361" w:hanging="681"/>
      </w:pPr>
    </w:lvl>
    <w:lvl w:ilvl="3">
      <w:start w:val="1"/>
      <w:numFmt w:val="lowerRoman"/>
      <w:pStyle w:val="numpara4"/>
      <w:lvlText w:val="(%4)"/>
      <w:lvlJc w:val="left"/>
      <w:pPr>
        <w:tabs>
          <w:tab w:val="num" w:pos="2041"/>
        </w:tabs>
        <w:ind w:left="2041" w:hanging="680"/>
      </w:pPr>
    </w:lvl>
    <w:lvl w:ilvl="4">
      <w:start w:val="1"/>
      <w:numFmt w:val="upperLetter"/>
      <w:pStyle w:val="numpara5"/>
      <w:lvlText w:val="(%5)"/>
      <w:lvlJc w:val="left"/>
      <w:pPr>
        <w:tabs>
          <w:tab w:val="num" w:pos="2722"/>
        </w:tabs>
        <w:ind w:left="2722" w:hanging="681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8033099"/>
    <w:multiLevelType w:val="multilevel"/>
    <w:tmpl w:val="358A6220"/>
    <w:lvl w:ilvl="0">
      <w:start w:val="1"/>
      <w:numFmt w:val="bullet"/>
      <w:pStyle w:val="Bullet1"/>
      <w:lvlText w:val=""/>
      <w:lvlJc w:val="left"/>
      <w:pPr>
        <w:tabs>
          <w:tab w:val="num" w:pos="680"/>
        </w:tabs>
        <w:ind w:left="680" w:hanging="680"/>
      </w:pPr>
      <w:rPr>
        <w:rFonts w:ascii="Wingdings 2" w:hAnsi="Wingdings 2" w:hint="default"/>
      </w:rPr>
    </w:lvl>
    <w:lvl w:ilvl="1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2">
      <w:start w:val="1"/>
      <w:numFmt w:val="bullet"/>
      <w:pStyle w:val="Bullet3"/>
      <w:lvlText w:val="»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bullet"/>
      <w:pStyle w:val="Bullet4"/>
      <w:lvlText w:val=""/>
      <w:lvlJc w:val="left"/>
      <w:pPr>
        <w:tabs>
          <w:tab w:val="num" w:pos="2722"/>
        </w:tabs>
        <w:ind w:left="2722" w:hanging="681"/>
      </w:pPr>
      <w:rPr>
        <w:rFonts w:ascii="Symbol" w:hAnsi="Symbol" w:hint="default"/>
      </w:r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2" w15:restartNumberingAfterBreak="0">
    <w:nsid w:val="2C434AD5"/>
    <w:multiLevelType w:val="multilevel"/>
    <w:tmpl w:val="F0626700"/>
    <w:lvl w:ilvl="0">
      <w:start w:val="1"/>
      <w:numFmt w:val="decimal"/>
      <w:pStyle w:val="Heading1"/>
      <w:lvlText w:val="%1.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680"/>
        </w:tabs>
        <w:ind w:left="680" w:hanging="68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1361"/>
        </w:tabs>
        <w:ind w:left="1361" w:hanging="681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081"/>
        </w:tabs>
        <w:ind w:left="2041" w:hanging="680"/>
      </w:pPr>
    </w:lvl>
    <w:lvl w:ilvl="4">
      <w:start w:val="1"/>
      <w:numFmt w:val="upperLetter"/>
      <w:pStyle w:val="Heading5"/>
      <w:lvlText w:val="(%5)"/>
      <w:lvlJc w:val="left"/>
      <w:pPr>
        <w:tabs>
          <w:tab w:val="num" w:pos="2722"/>
        </w:tabs>
        <w:ind w:left="2722" w:hanging="681"/>
      </w:pPr>
    </w:lvl>
    <w:lvl w:ilvl="5">
      <w:start w:val="1"/>
      <w:numFmt w:val="none"/>
      <w:pStyle w:val="Heading6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pStyle w:val="Heading7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pStyle w:val="Heading8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pStyle w:val="Heading9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" w15:restartNumberingAfterBreak="0">
    <w:nsid w:val="3DE95FFB"/>
    <w:multiLevelType w:val="multilevel"/>
    <w:tmpl w:val="AC306196"/>
    <w:lvl w:ilvl="0">
      <w:start w:val="1"/>
      <w:numFmt w:val="decimal"/>
      <w:pStyle w:val="SchHeading1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pStyle w:val="SchHeading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lowerLetter"/>
      <w:pStyle w:val="SchHeading3"/>
      <w:lvlText w:val="(%3)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3">
      <w:start w:val="1"/>
      <w:numFmt w:val="lowerRoman"/>
      <w:pStyle w:val="SchHeading4"/>
      <w:lvlText w:val="(%4)"/>
      <w:lvlJc w:val="left"/>
      <w:pPr>
        <w:tabs>
          <w:tab w:val="num" w:pos="2081"/>
        </w:tabs>
        <w:ind w:left="2041" w:hanging="680"/>
      </w:pPr>
      <w:rPr>
        <w:rFonts w:hint="default"/>
      </w:rPr>
    </w:lvl>
    <w:lvl w:ilvl="4">
      <w:start w:val="1"/>
      <w:numFmt w:val="upperLetter"/>
      <w:pStyle w:val="SchHeading5"/>
      <w:lvlText w:val="(%5)"/>
      <w:lvlJc w:val="left"/>
      <w:pPr>
        <w:tabs>
          <w:tab w:val="num" w:pos="2722"/>
        </w:tabs>
        <w:ind w:left="2722" w:hanging="681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281086B"/>
    <w:multiLevelType w:val="hybridMultilevel"/>
    <w:tmpl w:val="335A6438"/>
    <w:lvl w:ilvl="0" w:tplc="39422752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538176">
    <w:abstractNumId w:val="1"/>
  </w:num>
  <w:num w:numId="2" w16cid:durableId="1035034057">
    <w:abstractNumId w:val="1"/>
  </w:num>
  <w:num w:numId="3" w16cid:durableId="2106069695">
    <w:abstractNumId w:val="1"/>
  </w:num>
  <w:num w:numId="4" w16cid:durableId="321390956">
    <w:abstractNumId w:val="1"/>
  </w:num>
  <w:num w:numId="5" w16cid:durableId="1671062388">
    <w:abstractNumId w:val="2"/>
  </w:num>
  <w:num w:numId="6" w16cid:durableId="563757929">
    <w:abstractNumId w:val="2"/>
  </w:num>
  <w:num w:numId="7" w16cid:durableId="1491824345">
    <w:abstractNumId w:val="2"/>
  </w:num>
  <w:num w:numId="8" w16cid:durableId="1501774611">
    <w:abstractNumId w:val="2"/>
  </w:num>
  <w:num w:numId="9" w16cid:durableId="1889492971">
    <w:abstractNumId w:val="2"/>
  </w:num>
  <w:num w:numId="10" w16cid:durableId="1938825291">
    <w:abstractNumId w:val="2"/>
  </w:num>
  <w:num w:numId="11" w16cid:durableId="158153418">
    <w:abstractNumId w:val="2"/>
  </w:num>
  <w:num w:numId="12" w16cid:durableId="346517704">
    <w:abstractNumId w:val="2"/>
  </w:num>
  <w:num w:numId="13" w16cid:durableId="1873490993">
    <w:abstractNumId w:val="2"/>
  </w:num>
  <w:num w:numId="14" w16cid:durableId="2133595835">
    <w:abstractNumId w:val="0"/>
  </w:num>
  <w:num w:numId="15" w16cid:durableId="827748561">
    <w:abstractNumId w:val="0"/>
  </w:num>
  <w:num w:numId="16" w16cid:durableId="1257445273">
    <w:abstractNumId w:val="0"/>
  </w:num>
  <w:num w:numId="17" w16cid:durableId="137109164">
    <w:abstractNumId w:val="0"/>
  </w:num>
  <w:num w:numId="18" w16cid:durableId="1434398139">
    <w:abstractNumId w:val="0"/>
  </w:num>
  <w:num w:numId="19" w16cid:durableId="324818299">
    <w:abstractNumId w:val="3"/>
  </w:num>
  <w:num w:numId="20" w16cid:durableId="590505517">
    <w:abstractNumId w:val="3"/>
  </w:num>
  <w:num w:numId="21" w16cid:durableId="368183429">
    <w:abstractNumId w:val="3"/>
  </w:num>
  <w:num w:numId="22" w16cid:durableId="1993828420">
    <w:abstractNumId w:val="3"/>
  </w:num>
  <w:num w:numId="23" w16cid:durableId="1386102836">
    <w:abstractNumId w:val="3"/>
  </w:num>
  <w:num w:numId="24" w16cid:durableId="71049599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54"/>
    <w:rsid w:val="00105660"/>
    <w:rsid w:val="00106827"/>
    <w:rsid w:val="00174C3B"/>
    <w:rsid w:val="001A3B42"/>
    <w:rsid w:val="002442A1"/>
    <w:rsid w:val="00287BF8"/>
    <w:rsid w:val="002932FB"/>
    <w:rsid w:val="00317E34"/>
    <w:rsid w:val="0038096E"/>
    <w:rsid w:val="003B6A39"/>
    <w:rsid w:val="003E460D"/>
    <w:rsid w:val="00402725"/>
    <w:rsid w:val="00417159"/>
    <w:rsid w:val="00426C16"/>
    <w:rsid w:val="00426D8F"/>
    <w:rsid w:val="004C3AE0"/>
    <w:rsid w:val="00521AFA"/>
    <w:rsid w:val="00595856"/>
    <w:rsid w:val="005D7584"/>
    <w:rsid w:val="005F670C"/>
    <w:rsid w:val="0065228F"/>
    <w:rsid w:val="00870880"/>
    <w:rsid w:val="00873EE1"/>
    <w:rsid w:val="008E561E"/>
    <w:rsid w:val="008F3035"/>
    <w:rsid w:val="00980436"/>
    <w:rsid w:val="00A6013C"/>
    <w:rsid w:val="00AA7E2C"/>
    <w:rsid w:val="00B05F6F"/>
    <w:rsid w:val="00B150CE"/>
    <w:rsid w:val="00B43D24"/>
    <w:rsid w:val="00B91954"/>
    <w:rsid w:val="00B92BD8"/>
    <w:rsid w:val="00C37DAE"/>
    <w:rsid w:val="00C715FF"/>
    <w:rsid w:val="00CD66F0"/>
    <w:rsid w:val="00CE20E8"/>
    <w:rsid w:val="00CE4D1F"/>
    <w:rsid w:val="00D17958"/>
    <w:rsid w:val="00DC5C2C"/>
    <w:rsid w:val="00DE3B72"/>
    <w:rsid w:val="00EA3F01"/>
    <w:rsid w:val="00F74A46"/>
    <w:rsid w:val="00F9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225B"/>
  <w15:chartTrackingRefBased/>
  <w15:docId w15:val="{AD84D7D5-6A65-4019-B0E7-9255E6D9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954"/>
    <w:pPr>
      <w:spacing w:after="0" w:line="240" w:lineRule="auto"/>
    </w:pPr>
    <w:rPr>
      <w:rFonts w:ascii="Arial" w:eastAsia="Arial" w:hAnsi="Arial" w:cs="Arial"/>
      <w:kern w:val="0"/>
      <w:sz w:val="18"/>
      <w:szCs w:val="18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B150CE"/>
    <w:pPr>
      <w:keepNext/>
      <w:numPr>
        <w:numId w:val="13"/>
      </w:numPr>
      <w:spacing w:after="200"/>
      <w:outlineLvl w:val="0"/>
    </w:pPr>
    <w:rPr>
      <w:b/>
    </w:rPr>
  </w:style>
  <w:style w:type="paragraph" w:styleId="Heading2">
    <w:name w:val="heading 2"/>
    <w:basedOn w:val="Normal"/>
    <w:next w:val="bodytext2"/>
    <w:link w:val="Heading2Char"/>
    <w:autoRedefine/>
    <w:qFormat/>
    <w:rsid w:val="00B150CE"/>
    <w:pPr>
      <w:keepNext/>
      <w:numPr>
        <w:ilvl w:val="1"/>
        <w:numId w:val="13"/>
      </w:numPr>
      <w:outlineLvl w:val="1"/>
    </w:pPr>
    <w:rPr>
      <w:b/>
    </w:rPr>
  </w:style>
  <w:style w:type="paragraph" w:styleId="Heading3">
    <w:name w:val="heading 3"/>
    <w:basedOn w:val="Normal"/>
    <w:link w:val="Heading3Char"/>
    <w:qFormat/>
    <w:rsid w:val="00B150CE"/>
    <w:pPr>
      <w:numPr>
        <w:ilvl w:val="2"/>
        <w:numId w:val="13"/>
      </w:numPr>
      <w:spacing w:after="200" w:line="360" w:lineRule="auto"/>
      <w:outlineLvl w:val="2"/>
    </w:pPr>
  </w:style>
  <w:style w:type="paragraph" w:styleId="Heading4">
    <w:name w:val="heading 4"/>
    <w:basedOn w:val="Normal"/>
    <w:link w:val="Heading4Char"/>
    <w:qFormat/>
    <w:rsid w:val="00B150CE"/>
    <w:pPr>
      <w:numPr>
        <w:ilvl w:val="3"/>
        <w:numId w:val="13"/>
      </w:numPr>
      <w:spacing w:after="240"/>
      <w:outlineLvl w:val="3"/>
    </w:pPr>
  </w:style>
  <w:style w:type="paragraph" w:styleId="Heading5">
    <w:name w:val="heading 5"/>
    <w:basedOn w:val="Normal"/>
    <w:link w:val="Heading5Char"/>
    <w:qFormat/>
    <w:rsid w:val="00B150CE"/>
    <w:pPr>
      <w:numPr>
        <w:ilvl w:val="4"/>
        <w:numId w:val="1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B150CE"/>
    <w:pPr>
      <w:numPr>
        <w:ilvl w:val="5"/>
        <w:numId w:val="1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B150CE"/>
    <w:pPr>
      <w:numPr>
        <w:ilvl w:val="6"/>
        <w:numId w:val="1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B150CE"/>
    <w:pPr>
      <w:numPr>
        <w:ilvl w:val="7"/>
        <w:numId w:val="1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B150CE"/>
    <w:pPr>
      <w:numPr>
        <w:ilvl w:val="8"/>
        <w:numId w:val="13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B150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150CE"/>
    <w:rPr>
      <w:rFonts w:ascii="Tahoma" w:eastAsia="Times New Roman" w:hAnsi="Tahoma" w:cs="Tahoma"/>
      <w:color w:val="000000"/>
      <w:kern w:val="0"/>
      <w:sz w:val="16"/>
      <w:szCs w:val="16"/>
      <w:lang w:eastAsia="en-AU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B150CE"/>
  </w:style>
  <w:style w:type="paragraph" w:customStyle="1" w:styleId="Body">
    <w:name w:val="Body"/>
    <w:qFormat/>
    <w:rsid w:val="00B150CE"/>
    <w:pPr>
      <w:spacing w:after="0" w:line="240" w:lineRule="auto"/>
    </w:pPr>
    <w:rPr>
      <w:rFonts w:ascii="Helvetica" w:eastAsia="Arial Unicode MS" w:hAnsi="Helvetica" w:cs="Arial Unicode MS"/>
      <w:color w:val="000000"/>
      <w:kern w:val="0"/>
      <w:lang w:val="en-US" w:eastAsia="en-AU"/>
      <w14:ligatures w14:val="none"/>
    </w:rPr>
  </w:style>
  <w:style w:type="paragraph" w:customStyle="1" w:styleId="bodytext2">
    <w:name w:val="bodytext2"/>
    <w:basedOn w:val="Normal"/>
    <w:rsid w:val="00B150CE"/>
    <w:pPr>
      <w:ind w:left="680"/>
    </w:pPr>
  </w:style>
  <w:style w:type="paragraph" w:customStyle="1" w:styleId="bodytext3">
    <w:name w:val="bodytext3"/>
    <w:basedOn w:val="Normal"/>
    <w:rsid w:val="00B150CE"/>
    <w:pPr>
      <w:ind w:left="1361"/>
    </w:pPr>
  </w:style>
  <w:style w:type="paragraph" w:customStyle="1" w:styleId="bodytext4">
    <w:name w:val="bodytext4"/>
    <w:basedOn w:val="Normal"/>
    <w:rsid w:val="00B150CE"/>
    <w:pPr>
      <w:ind w:left="2041"/>
    </w:pPr>
  </w:style>
  <w:style w:type="paragraph" w:customStyle="1" w:styleId="bodytext5">
    <w:name w:val="bodytext5"/>
    <w:basedOn w:val="Normal"/>
    <w:rsid w:val="00B150CE"/>
    <w:pPr>
      <w:ind w:left="2722"/>
    </w:pPr>
  </w:style>
  <w:style w:type="character" w:customStyle="1" w:styleId="bold1">
    <w:name w:val="bold1"/>
    <w:basedOn w:val="DefaultParagraphFont"/>
    <w:rsid w:val="00B150CE"/>
    <w:rPr>
      <w:b/>
      <w:bCs/>
    </w:rPr>
  </w:style>
  <w:style w:type="paragraph" w:customStyle="1" w:styleId="Bullet1">
    <w:name w:val="Bullet 1"/>
    <w:basedOn w:val="Normal"/>
    <w:rsid w:val="00B150CE"/>
    <w:pPr>
      <w:numPr>
        <w:numId w:val="4"/>
      </w:numPr>
    </w:pPr>
  </w:style>
  <w:style w:type="paragraph" w:customStyle="1" w:styleId="Bullet2">
    <w:name w:val="Bullet 2"/>
    <w:basedOn w:val="Normal"/>
    <w:rsid w:val="00B150CE"/>
    <w:pPr>
      <w:numPr>
        <w:ilvl w:val="1"/>
        <w:numId w:val="4"/>
      </w:numPr>
    </w:pPr>
  </w:style>
  <w:style w:type="paragraph" w:customStyle="1" w:styleId="Bullet3">
    <w:name w:val="Bullet 3"/>
    <w:basedOn w:val="Normal"/>
    <w:rsid w:val="00B150CE"/>
    <w:pPr>
      <w:numPr>
        <w:ilvl w:val="2"/>
        <w:numId w:val="4"/>
      </w:numPr>
    </w:pPr>
  </w:style>
  <w:style w:type="paragraph" w:customStyle="1" w:styleId="Bullet4">
    <w:name w:val="Bullet 4"/>
    <w:basedOn w:val="Normal"/>
    <w:rsid w:val="00B150CE"/>
    <w:pPr>
      <w:numPr>
        <w:ilvl w:val="3"/>
        <w:numId w:val="4"/>
      </w:numPr>
    </w:pPr>
  </w:style>
  <w:style w:type="character" w:customStyle="1" w:styleId="c12">
    <w:name w:val="c12"/>
    <w:basedOn w:val="DefaultParagraphFont"/>
    <w:rsid w:val="00B150CE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150C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150CE"/>
  </w:style>
  <w:style w:type="character" w:customStyle="1" w:styleId="CommentTextChar">
    <w:name w:val="Comment Text Char"/>
    <w:basedOn w:val="DefaultParagraphFont"/>
    <w:link w:val="CommentText"/>
    <w:uiPriority w:val="99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50C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50CE"/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eastAsia="en-AU"/>
      <w14:ligatures w14:val="none"/>
    </w:rPr>
  </w:style>
  <w:style w:type="character" w:customStyle="1" w:styleId="emphasis1">
    <w:name w:val="emphasis1"/>
    <w:basedOn w:val="DefaultParagraphFont"/>
    <w:rsid w:val="00B150CE"/>
    <w:rPr>
      <w:i/>
      <w:iCs/>
    </w:rPr>
  </w:style>
  <w:style w:type="paragraph" w:customStyle="1" w:styleId="EndNoteBibliography">
    <w:name w:val="EndNote Bibliography"/>
    <w:basedOn w:val="Normal"/>
    <w:link w:val="EndNoteBibliographyChar"/>
    <w:rsid w:val="00B150CE"/>
    <w:rPr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B150CE"/>
    <w:rPr>
      <w:rFonts w:ascii="Times New Roman" w:eastAsia="Times New Roman" w:hAnsi="Times New Roman" w:cs="Arial"/>
      <w:noProof/>
      <w:color w:val="000000"/>
      <w:kern w:val="0"/>
      <w:sz w:val="24"/>
      <w:szCs w:val="24"/>
      <w:lang w:val="en-US" w:eastAsia="en-AU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B150CE"/>
    <w:pPr>
      <w:jc w:val="center"/>
    </w:pPr>
    <w:rPr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150CE"/>
    <w:rPr>
      <w:rFonts w:ascii="Times New Roman" w:eastAsia="Times New Roman" w:hAnsi="Times New Roman" w:cs="Arial"/>
      <w:noProof/>
      <w:color w:val="000000"/>
      <w:kern w:val="0"/>
      <w:sz w:val="24"/>
      <w:szCs w:val="24"/>
      <w:lang w:val="en-US" w:eastAsia="en-AU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B150C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50CE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50CE"/>
    <w:rPr>
      <w:rFonts w:ascii="Times New Roman" w:eastAsia="Times New Roman" w:hAnsi="Times New Roman" w:cs="Times New Roman"/>
      <w:color w:val="000000"/>
      <w:kern w:val="0"/>
      <w:sz w:val="20"/>
      <w:szCs w:val="24"/>
      <w:lang w:eastAsia="en-AU"/>
      <w14:ligatures w14:val="none"/>
    </w:rPr>
  </w:style>
  <w:style w:type="character" w:customStyle="1" w:styleId="enumbell">
    <w:name w:val="enumbell"/>
    <w:basedOn w:val="DefaultParagraphFont"/>
    <w:rsid w:val="00B150CE"/>
  </w:style>
  <w:style w:type="character" w:styleId="FollowedHyperlink">
    <w:name w:val="FollowedHyperlink"/>
    <w:basedOn w:val="DefaultParagraphFont"/>
    <w:uiPriority w:val="99"/>
    <w:semiHidden/>
    <w:unhideWhenUsed/>
    <w:rsid w:val="00B150CE"/>
    <w:rPr>
      <w:color w:val="96607D" w:themeColor="followedHyperlink"/>
      <w:u w:val="single"/>
    </w:rPr>
  </w:style>
  <w:style w:type="character" w:customStyle="1" w:styleId="fontstyle01">
    <w:name w:val="fontstyle01"/>
    <w:basedOn w:val="DefaultParagraphFont"/>
    <w:rsid w:val="00B150CE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rsid w:val="00B150CE"/>
    <w:pPr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150CE"/>
    <w:rPr>
      <w:rFonts w:ascii="Times New Roman" w:eastAsia="Times New Roman" w:hAnsi="Times New Roman" w:cs="Times New Roman"/>
      <w:color w:val="000000"/>
      <w:kern w:val="0"/>
      <w:sz w:val="16"/>
      <w:szCs w:val="24"/>
      <w:lang w:eastAsia="en-AU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B150C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150CE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50CE"/>
    <w:rPr>
      <w:rFonts w:ascii="Times New Roman" w:eastAsia="Times New Roman" w:hAnsi="Times New Roman" w:cs="Times New Roman"/>
      <w:color w:val="000000"/>
      <w:kern w:val="0"/>
      <w:sz w:val="20"/>
      <w:szCs w:val="24"/>
      <w:lang w:eastAsia="en-AU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B150CE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rsid w:val="00B150CE"/>
  </w:style>
  <w:style w:type="character" w:customStyle="1" w:styleId="HeaderChar">
    <w:name w:val="Header Char"/>
    <w:basedOn w:val="DefaultParagraphFont"/>
    <w:link w:val="Header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character" w:customStyle="1" w:styleId="Heading1Char">
    <w:name w:val="Heading 1 Char"/>
    <w:basedOn w:val="DefaultParagraphFont"/>
    <w:link w:val="Heading1"/>
    <w:rsid w:val="00B150CE"/>
    <w:rPr>
      <w:rFonts w:ascii="Times New Roman" w:eastAsia="Times New Roman" w:hAnsi="Times New Roman" w:cs="Times New Roman"/>
      <w:b/>
      <w:color w:val="000000"/>
      <w:kern w:val="0"/>
      <w:sz w:val="24"/>
      <w:szCs w:val="24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rsid w:val="00B150CE"/>
    <w:rPr>
      <w:rFonts w:ascii="Times New Roman" w:eastAsia="Times New Roman" w:hAnsi="Times New Roman" w:cs="Times New Roman"/>
      <w:b/>
      <w:color w:val="000000"/>
      <w:kern w:val="0"/>
      <w:sz w:val="24"/>
      <w:szCs w:val="24"/>
      <w:lang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character" w:customStyle="1" w:styleId="Heading5Char">
    <w:name w:val="Heading 5 Char"/>
    <w:basedOn w:val="DefaultParagraphFont"/>
    <w:link w:val="Heading5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character" w:customStyle="1" w:styleId="Heading6Char">
    <w:name w:val="Heading 6 Char"/>
    <w:basedOn w:val="DefaultParagraphFont"/>
    <w:link w:val="Heading6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character" w:customStyle="1" w:styleId="Heading7Char">
    <w:name w:val="Heading 7 Char"/>
    <w:basedOn w:val="DefaultParagraphFont"/>
    <w:link w:val="Heading7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character" w:customStyle="1" w:styleId="Heading8Char">
    <w:name w:val="Heading 8 Char"/>
    <w:basedOn w:val="DefaultParagraphFont"/>
    <w:link w:val="Heading8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character" w:customStyle="1" w:styleId="Heading9Char">
    <w:name w:val="Heading 9 Char"/>
    <w:basedOn w:val="DefaultParagraphFont"/>
    <w:link w:val="Heading9"/>
    <w:rsid w:val="00B150CE"/>
    <w:rPr>
      <w:rFonts w:ascii="Times New Roman" w:eastAsia="Times New Roman" w:hAnsi="Times New Roman" w:cs="Times New Roman"/>
      <w:color w:val="000000"/>
      <w:kern w:val="0"/>
      <w:sz w:val="24"/>
      <w:szCs w:val="24"/>
      <w:lang w:eastAsia="en-A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0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0CE"/>
    <w:rPr>
      <w:rFonts w:ascii="Courier New" w:eastAsia="Times New Roman" w:hAnsi="Courier New" w:cs="Courier New"/>
      <w:color w:val="000000"/>
      <w:kern w:val="0"/>
      <w:sz w:val="20"/>
      <w:szCs w:val="24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B150CE"/>
    <w:rPr>
      <w:color w:val="467886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0C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0CE"/>
    <w:rPr>
      <w:rFonts w:ascii="Times New Roman" w:eastAsia="Times New Roman" w:hAnsi="Times New Roman" w:cs="Times New Roman"/>
      <w:i/>
      <w:iCs/>
      <w:color w:val="156082" w:themeColor="accent1"/>
      <w:kern w:val="0"/>
      <w:sz w:val="24"/>
      <w:szCs w:val="24"/>
      <w:lang w:eastAsia="en-AU"/>
      <w14:ligatures w14:val="none"/>
    </w:rPr>
  </w:style>
  <w:style w:type="character" w:customStyle="1" w:styleId="italic1">
    <w:name w:val="italic1"/>
    <w:basedOn w:val="DefaultParagraphFont"/>
    <w:rsid w:val="00B150CE"/>
    <w:rPr>
      <w:i/>
      <w:iCs/>
    </w:rPr>
  </w:style>
  <w:style w:type="paragraph" w:customStyle="1" w:styleId="lawrevlist2">
    <w:name w:val="lawrevlist2"/>
    <w:basedOn w:val="Normal"/>
    <w:rsid w:val="00B150CE"/>
    <w:pPr>
      <w:spacing w:before="100" w:beforeAutospacing="1" w:after="100" w:afterAutospacing="1"/>
    </w:pPr>
  </w:style>
  <w:style w:type="table" w:styleId="LightShading-Accent1">
    <w:name w:val="Light Shading Accent 1"/>
    <w:basedOn w:val="TableNormal"/>
    <w:uiPriority w:val="60"/>
    <w:rsid w:val="00B150CE"/>
    <w:pPr>
      <w:spacing w:after="0" w:line="240" w:lineRule="auto"/>
    </w:pPr>
    <w:rPr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B150CE"/>
    <w:pPr>
      <w:ind w:left="720"/>
      <w:contextualSpacing/>
    </w:pPr>
  </w:style>
  <w:style w:type="paragraph" w:customStyle="1" w:styleId="loose">
    <w:name w:val="loose"/>
    <w:basedOn w:val="Normal"/>
    <w:rsid w:val="00B150CE"/>
    <w:pPr>
      <w:spacing w:before="210"/>
    </w:pPr>
  </w:style>
  <w:style w:type="paragraph" w:customStyle="1" w:styleId="main1">
    <w:name w:val="main1"/>
    <w:basedOn w:val="Normal"/>
    <w:rsid w:val="00B150CE"/>
    <w:pPr>
      <w:spacing w:after="180"/>
      <w:textAlignment w:val="top"/>
    </w:pPr>
  </w:style>
  <w:style w:type="table" w:styleId="MediumGrid2-Accent1">
    <w:name w:val="Medium Grid 2 Accent 1"/>
    <w:basedOn w:val="TableNormal"/>
    <w:uiPriority w:val="68"/>
    <w:rsid w:val="00B150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1">
    <w:name w:val="Medium List 2 Accent 1"/>
    <w:basedOn w:val="TableNormal"/>
    <w:uiPriority w:val="66"/>
    <w:rsid w:val="00B150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NoNum-Heading1">
    <w:name w:val="No Num-Heading 1"/>
    <w:basedOn w:val="Normal"/>
    <w:next w:val="Normal"/>
    <w:rsid w:val="00B150CE"/>
    <w:pPr>
      <w:keepNext/>
    </w:pPr>
    <w:rPr>
      <w:b/>
      <w:sz w:val="28"/>
    </w:rPr>
  </w:style>
  <w:style w:type="paragraph" w:customStyle="1" w:styleId="NoNum-Heading2">
    <w:name w:val="No Num-Heading 2"/>
    <w:basedOn w:val="Normal"/>
    <w:next w:val="Normal"/>
    <w:rsid w:val="00B150CE"/>
    <w:pPr>
      <w:keepNext/>
    </w:pPr>
    <w:rPr>
      <w:b/>
    </w:rPr>
  </w:style>
  <w:style w:type="paragraph" w:styleId="NoSpacing">
    <w:name w:val="No Spacing"/>
    <w:link w:val="NoSpacingChar"/>
    <w:uiPriority w:val="1"/>
    <w:qFormat/>
    <w:rsid w:val="00B150CE"/>
    <w:pPr>
      <w:spacing w:after="0" w:line="240" w:lineRule="auto"/>
      <w:jc w:val="both"/>
    </w:pPr>
    <w:rPr>
      <w:rFonts w:ascii="Arial" w:hAnsi="Arial" w:cs="Times New Roman"/>
      <w:kern w:val="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150CE"/>
    <w:rPr>
      <w:rFonts w:ascii="Arial" w:eastAsia="Times New Roman" w:hAnsi="Arial" w:cs="Times New Roman"/>
      <w:kern w:val="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B150CE"/>
    <w:pPr>
      <w:spacing w:before="100" w:beforeAutospacing="1" w:after="180"/>
    </w:pPr>
  </w:style>
  <w:style w:type="paragraph" w:customStyle="1" w:styleId="Normal1">
    <w:name w:val="Normal1"/>
    <w:rsid w:val="00B150CE"/>
    <w:pPr>
      <w:spacing w:after="0" w:line="276" w:lineRule="auto"/>
    </w:pPr>
    <w:rPr>
      <w:rFonts w:ascii="Arial" w:eastAsia="Arial" w:hAnsi="Arial" w:cs="Arial"/>
      <w:color w:val="000000"/>
      <w:kern w:val="0"/>
      <w14:ligatures w14:val="none"/>
    </w:rPr>
  </w:style>
  <w:style w:type="character" w:customStyle="1" w:styleId="normaltextrun">
    <w:name w:val="normaltextrun"/>
    <w:basedOn w:val="DefaultParagraphFont"/>
    <w:rsid w:val="00B150CE"/>
  </w:style>
  <w:style w:type="paragraph" w:customStyle="1" w:styleId="numpara1">
    <w:name w:val="numpara1"/>
    <w:basedOn w:val="Normal"/>
    <w:rsid w:val="00B150CE"/>
    <w:pPr>
      <w:numPr>
        <w:numId w:val="18"/>
      </w:numPr>
    </w:pPr>
  </w:style>
  <w:style w:type="paragraph" w:customStyle="1" w:styleId="numpara2">
    <w:name w:val="numpara2"/>
    <w:basedOn w:val="Normal"/>
    <w:rsid w:val="00B150CE"/>
    <w:pPr>
      <w:numPr>
        <w:ilvl w:val="1"/>
        <w:numId w:val="18"/>
      </w:numPr>
    </w:pPr>
  </w:style>
  <w:style w:type="paragraph" w:customStyle="1" w:styleId="numpara3">
    <w:name w:val="numpara3"/>
    <w:basedOn w:val="Normal"/>
    <w:rsid w:val="00B150CE"/>
    <w:pPr>
      <w:numPr>
        <w:ilvl w:val="2"/>
        <w:numId w:val="18"/>
      </w:numPr>
    </w:pPr>
  </w:style>
  <w:style w:type="paragraph" w:customStyle="1" w:styleId="numpara4">
    <w:name w:val="numpara4"/>
    <w:basedOn w:val="Normal"/>
    <w:rsid w:val="00B150CE"/>
    <w:pPr>
      <w:numPr>
        <w:ilvl w:val="3"/>
        <w:numId w:val="18"/>
      </w:numPr>
    </w:pPr>
  </w:style>
  <w:style w:type="paragraph" w:customStyle="1" w:styleId="numpara5">
    <w:name w:val="numpara5"/>
    <w:basedOn w:val="Normal"/>
    <w:rsid w:val="00B150CE"/>
    <w:pPr>
      <w:numPr>
        <w:ilvl w:val="4"/>
        <w:numId w:val="18"/>
      </w:numPr>
    </w:pPr>
  </w:style>
  <w:style w:type="character" w:styleId="PageNumber">
    <w:name w:val="page number"/>
    <w:basedOn w:val="DefaultParagraphFont"/>
    <w:rsid w:val="00B150CE"/>
  </w:style>
  <w:style w:type="character" w:customStyle="1" w:styleId="para-label1">
    <w:name w:val="para-label1"/>
    <w:basedOn w:val="DefaultParagraphFont"/>
    <w:rsid w:val="00B150CE"/>
  </w:style>
  <w:style w:type="paragraph" w:customStyle="1" w:styleId="PHDHeading5">
    <w:name w:val="PHD Heading 5"/>
    <w:basedOn w:val="Normal"/>
    <w:next w:val="Normal"/>
    <w:autoRedefine/>
    <w:qFormat/>
    <w:rsid w:val="00B150CE"/>
    <w:pPr>
      <w:spacing w:before="120" w:after="120"/>
    </w:pPr>
    <w:rPr>
      <w:rFonts w:ascii="Helvetica Neue" w:hAnsi="Helvetica Neue"/>
      <w:i/>
      <w:iCs/>
      <w:smallCaps/>
      <w:lang w:val="en-GB"/>
    </w:rPr>
  </w:style>
  <w:style w:type="paragraph" w:customStyle="1" w:styleId="Plate4">
    <w:name w:val="Plate4"/>
    <w:basedOn w:val="Normal"/>
    <w:rsid w:val="00B150CE"/>
  </w:style>
  <w:style w:type="character" w:customStyle="1" w:styleId="ptext-">
    <w:name w:val="ptext-"/>
    <w:basedOn w:val="DefaultParagraphFont"/>
    <w:rsid w:val="00B150CE"/>
  </w:style>
  <w:style w:type="paragraph" w:styleId="Quote">
    <w:name w:val="Quote"/>
    <w:basedOn w:val="Normal"/>
    <w:next w:val="Normal"/>
    <w:link w:val="QuoteChar"/>
    <w:autoRedefine/>
    <w:uiPriority w:val="29"/>
    <w:qFormat/>
    <w:rsid w:val="00B150CE"/>
    <w:pPr>
      <w:spacing w:before="200" w:after="160"/>
      <w:ind w:left="864" w:right="95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B150CE"/>
    <w:rPr>
      <w:rFonts w:ascii="Times New Roman" w:eastAsia="Times New Roman" w:hAnsi="Times New Roman" w:cs="Times New Roman"/>
      <w:iCs/>
      <w:color w:val="000000"/>
      <w:kern w:val="0"/>
      <w:sz w:val="24"/>
      <w:szCs w:val="24"/>
      <w:lang w:eastAsia="en-AU"/>
      <w14:ligatures w14:val="none"/>
    </w:rPr>
  </w:style>
  <w:style w:type="paragraph" w:customStyle="1" w:styleId="SchHeading1">
    <w:name w:val="Sch Heading 1"/>
    <w:basedOn w:val="Normal"/>
    <w:next w:val="Normal"/>
    <w:rsid w:val="00B150CE"/>
    <w:pPr>
      <w:keepNext/>
      <w:numPr>
        <w:numId w:val="23"/>
      </w:numPr>
    </w:pPr>
    <w:rPr>
      <w:b/>
      <w:sz w:val="28"/>
    </w:rPr>
  </w:style>
  <w:style w:type="paragraph" w:customStyle="1" w:styleId="SchHeading2">
    <w:name w:val="Sch Heading 2"/>
    <w:basedOn w:val="Normal"/>
    <w:next w:val="bodytext2"/>
    <w:rsid w:val="00B150CE"/>
    <w:pPr>
      <w:keepNext/>
      <w:numPr>
        <w:ilvl w:val="1"/>
        <w:numId w:val="23"/>
      </w:numPr>
    </w:pPr>
    <w:rPr>
      <w:b/>
    </w:rPr>
  </w:style>
  <w:style w:type="paragraph" w:customStyle="1" w:styleId="SchHeading3">
    <w:name w:val="Sch Heading 3"/>
    <w:basedOn w:val="Normal"/>
    <w:rsid w:val="00B150CE"/>
    <w:pPr>
      <w:numPr>
        <w:ilvl w:val="2"/>
        <w:numId w:val="23"/>
      </w:numPr>
    </w:pPr>
  </w:style>
  <w:style w:type="paragraph" w:customStyle="1" w:styleId="SchHeading4">
    <w:name w:val="Sch Heading 4"/>
    <w:basedOn w:val="Normal"/>
    <w:rsid w:val="00B150CE"/>
    <w:pPr>
      <w:numPr>
        <w:ilvl w:val="3"/>
        <w:numId w:val="23"/>
      </w:numPr>
      <w:tabs>
        <w:tab w:val="left" w:pos="2041"/>
      </w:tabs>
    </w:pPr>
  </w:style>
  <w:style w:type="paragraph" w:customStyle="1" w:styleId="SchHeading5">
    <w:name w:val="Sch Heading 5"/>
    <w:basedOn w:val="Normal"/>
    <w:rsid w:val="00B150CE"/>
    <w:pPr>
      <w:numPr>
        <w:ilvl w:val="4"/>
        <w:numId w:val="23"/>
      </w:numPr>
    </w:pPr>
  </w:style>
  <w:style w:type="paragraph" w:customStyle="1" w:styleId="Schedule">
    <w:name w:val="Schedule"/>
    <w:basedOn w:val="Normal"/>
    <w:next w:val="Normal"/>
    <w:autoRedefine/>
    <w:rsid w:val="00B150CE"/>
    <w:rPr>
      <w:b/>
      <w:sz w:val="28"/>
    </w:rPr>
  </w:style>
  <w:style w:type="paragraph" w:customStyle="1" w:styleId="spacing2">
    <w:name w:val="spacing2"/>
    <w:basedOn w:val="Normal"/>
    <w:rsid w:val="00B150CE"/>
    <w:pPr>
      <w:spacing w:line="384" w:lineRule="atLeast"/>
    </w:pPr>
  </w:style>
  <w:style w:type="character" w:customStyle="1" w:styleId="spellingerror">
    <w:name w:val="spellingerror"/>
    <w:basedOn w:val="DefaultParagraphFont"/>
    <w:rsid w:val="00B150CE"/>
  </w:style>
  <w:style w:type="character" w:styleId="Strong">
    <w:name w:val="Strong"/>
    <w:basedOn w:val="DefaultParagraphFont"/>
    <w:uiPriority w:val="22"/>
    <w:qFormat/>
    <w:rsid w:val="00B150CE"/>
    <w:rPr>
      <w:b/>
      <w:bCs/>
    </w:rPr>
  </w:style>
  <w:style w:type="table" w:styleId="TableGrid">
    <w:name w:val="Table Grid"/>
    <w:basedOn w:val="TableNormal"/>
    <w:rsid w:val="00B150CE"/>
    <w:pPr>
      <w:spacing w:after="240" w:line="240" w:lineRule="auto"/>
      <w:jc w:val="both"/>
    </w:pPr>
    <w:rPr>
      <w:rFonts w:ascii="Times New Roman" w:hAnsi="Times New Roman" w:cs="Times New Roman"/>
      <w:kern w:val="0"/>
      <w:sz w:val="20"/>
      <w:szCs w:val="20"/>
      <w:lang w:eastAsia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B150CE"/>
    <w:pPr>
      <w:spacing w:before="120"/>
    </w:pPr>
    <w:rPr>
      <w:rFonts w:asciiTheme="minorHAnsi" w:hAnsiTheme="minorHAnsi"/>
      <w:b/>
    </w:rPr>
  </w:style>
  <w:style w:type="paragraph" w:styleId="TOC2">
    <w:name w:val="toc 2"/>
    <w:basedOn w:val="Normal"/>
    <w:next w:val="Normal"/>
    <w:autoRedefine/>
    <w:uiPriority w:val="39"/>
    <w:rsid w:val="00B150CE"/>
    <w:pPr>
      <w:ind w:left="220"/>
    </w:pPr>
    <w:rPr>
      <w:rFonts w:asciiTheme="minorHAnsi" w:hAnsiTheme="minorHAnsi"/>
      <w:b/>
      <w:szCs w:val="22"/>
    </w:rPr>
  </w:style>
  <w:style w:type="paragraph" w:styleId="TOC3">
    <w:name w:val="toc 3"/>
    <w:basedOn w:val="Normal"/>
    <w:next w:val="Normal"/>
    <w:autoRedefine/>
    <w:uiPriority w:val="39"/>
    <w:rsid w:val="00B150CE"/>
    <w:pPr>
      <w:ind w:left="440"/>
    </w:pPr>
    <w:rPr>
      <w:rFonts w:asciiTheme="minorHAnsi" w:hAnsiTheme="minorHAnsi"/>
      <w:szCs w:val="22"/>
    </w:rPr>
  </w:style>
  <w:style w:type="paragraph" w:styleId="TOC4">
    <w:name w:val="toc 4"/>
    <w:basedOn w:val="Normal"/>
    <w:next w:val="Normal"/>
    <w:autoRedefine/>
    <w:rsid w:val="00B150CE"/>
    <w:pPr>
      <w:ind w:left="660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50CE"/>
    <w:pPr>
      <w:ind w:left="880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50CE"/>
    <w:pPr>
      <w:ind w:left="1100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50CE"/>
    <w:pPr>
      <w:ind w:left="1320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50CE"/>
    <w:pPr>
      <w:ind w:left="1540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50CE"/>
    <w:pPr>
      <w:ind w:left="1760"/>
    </w:pPr>
    <w:rPr>
      <w:rFonts w:asciiTheme="minorHAnsi" w:hAnsiTheme="minorHAnsi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150CE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0F4761" w:themeColor="accent1" w:themeShade="BF"/>
      <w:sz w:val="28"/>
      <w:szCs w:val="28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919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5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5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AU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91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54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426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iatsis.gov.au/research/ethical-research/code-ethics" TargetMode="External"/><Relationship Id="rId21" Type="http://schemas.openxmlformats.org/officeDocument/2006/relationships/hyperlink" Target="https://www.nhmrc.gov.au/about-us/publications/ethical-conduct-research-aboriginal-and-torres-strait-islander-peoples-and-communities" TargetMode="External"/><Relationship Id="rId42" Type="http://schemas.openxmlformats.org/officeDocument/2006/relationships/hyperlink" Target="https://www.legislation.gov.au/C2004A03952/latest/text" TargetMode="External"/><Relationship Id="rId47" Type="http://schemas.openxmlformats.org/officeDocument/2006/relationships/hyperlink" Target="https://www.safetyandquality.gov.au/resources/national-clinical-trials-governance-framework-and-user-guide" TargetMode="External"/><Relationship Id="rId63" Type="http://schemas.openxmlformats.org/officeDocument/2006/relationships/hyperlink" Target="https://www.industry.gov.au/publications/australias-ai-ethics-principles" TargetMode="External"/><Relationship Id="rId68" Type="http://schemas.openxmlformats.org/officeDocument/2006/relationships/hyperlink" Target="https://www.forgov.qld.gov.au/information-technology/queensland-government-enterprise-architecture-qgea/qgea-directions-and-guidance/qgea-policies-standards-and-guidelines/use-of-generative-ai-in-queensland-government" TargetMode="External"/><Relationship Id="rId84" Type="http://schemas.openxmlformats.org/officeDocument/2006/relationships/customXml" Target="../customXml/item2.xml"/><Relationship Id="rId16" Type="http://schemas.openxmlformats.org/officeDocument/2006/relationships/hyperlink" Target="https://legislation.nsw.gov.au/view/html/inforce/current/act-2002-071" TargetMode="External"/><Relationship Id="rId11" Type="http://schemas.openxmlformats.org/officeDocument/2006/relationships/hyperlink" Target="https://www.nhmrc.gov.au/sites/default/files/documents/attachments/guidelines-s95-privacy-act-2024.pdf" TargetMode="External"/><Relationship Id="rId32" Type="http://schemas.openxmlformats.org/officeDocument/2006/relationships/hyperlink" Target="https://www.legislation.gov.au/terms-of-use" TargetMode="External"/><Relationship Id="rId37" Type="http://schemas.openxmlformats.org/officeDocument/2006/relationships/hyperlink" Target="https://www.legislation.gov.au/C2010A00072/latest/text" TargetMode="External"/><Relationship Id="rId53" Type="http://schemas.openxmlformats.org/officeDocument/2006/relationships/hyperlink" Target="https://www.ranzcr.com/advocacy-standards/artificial-intelligence/" TargetMode="External"/><Relationship Id="rId58" Type="http://schemas.openxmlformats.org/officeDocument/2006/relationships/hyperlink" Target="https://www.legislation.gov.au/terms-of-use" TargetMode="External"/><Relationship Id="rId74" Type="http://schemas.openxmlformats.org/officeDocument/2006/relationships/hyperlink" Target="https://gdpr.eu/what-is-gdpr/" TargetMode="External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hyperlink" Target="https://www.nhmrc.gov.au/about-us/publications/australian-code-responsible-conduct-research-2018" TargetMode="External"/><Relationship Id="rId14" Type="http://schemas.openxmlformats.org/officeDocument/2006/relationships/hyperlink" Target="https://www.nhmrc.gov.au/copyright" TargetMode="External"/><Relationship Id="rId22" Type="http://schemas.openxmlformats.org/officeDocument/2006/relationships/hyperlink" Target="https://www.nhmrc.gov.au/about-us/publications/keeping-research-track-ii" TargetMode="External"/><Relationship Id="rId27" Type="http://schemas.openxmlformats.org/officeDocument/2006/relationships/hyperlink" Target="https://www.maiamnayriwingara.org/mnw-principles" TargetMode="External"/><Relationship Id="rId30" Type="http://schemas.openxmlformats.org/officeDocument/2006/relationships/hyperlink" Target="https://www.legislation.gov.au/terms-of-use" TargetMode="External"/><Relationship Id="rId35" Type="http://schemas.openxmlformats.org/officeDocument/2006/relationships/hyperlink" Target="https://www.legislation.gov.au/C2012A00063/latest/text" TargetMode="External"/><Relationship Id="rId43" Type="http://schemas.openxmlformats.org/officeDocument/2006/relationships/hyperlink" Target="https://www.tga.gov.au/products/medical-devices/software-and-artificial-intelligence-ai/manufacturing/artificial-intelligence-ai-and-medical-device-software-regulation" TargetMode="External"/><Relationship Id="rId48" Type="http://schemas.openxmlformats.org/officeDocument/2006/relationships/hyperlink" Target="https://www.safetyandquality.gov.au/using-website/disclaimer-and-copyright" TargetMode="External"/><Relationship Id="rId56" Type="http://schemas.openxmlformats.org/officeDocument/2006/relationships/hyperlink" Target="https://www.legislation.gov.au/C2004A04426/latest/text" TargetMode="External"/><Relationship Id="rId64" Type="http://schemas.openxmlformats.org/officeDocument/2006/relationships/hyperlink" Target="https://www.finance.gov.au/government/public-data/data-and-digital-ministers-meeting/national-framework-assurance-artificial-intelligence-government" TargetMode="External"/><Relationship Id="rId69" Type="http://schemas.openxmlformats.org/officeDocument/2006/relationships/hyperlink" Target="https://www.industry.gov.au/publications/national-ai-plan" TargetMode="External"/><Relationship Id="rId77" Type="http://schemas.openxmlformats.org/officeDocument/2006/relationships/hyperlink" Target="https://www.legislation.gov.au/C2018A00029/latest/text" TargetMode="External"/><Relationship Id="rId8" Type="http://schemas.openxmlformats.org/officeDocument/2006/relationships/hyperlink" Target="https://www.nhmrc.gov.au/copyright" TargetMode="External"/><Relationship Id="rId51" Type="http://schemas.openxmlformats.org/officeDocument/2006/relationships/hyperlink" Target="https://www.safetyandquality.gov.au/using-website/disclaimer-and-copyright" TargetMode="External"/><Relationship Id="rId72" Type="http://schemas.openxmlformats.org/officeDocument/2006/relationships/hyperlink" Target="https://store.standards.org.au/product/as-iso-iec-42001-2023?ref=savingsasaservice.com.au" TargetMode="External"/><Relationship Id="rId80" Type="http://schemas.openxmlformats.org/officeDocument/2006/relationships/footer" Target="footer2.xml"/><Relationship Id="rId85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hyperlink" Target="https://www.nhmrc.gov.au/about-us/publications/guidelines-approved-under-section-95a-privacy-act-1988" TargetMode="External"/><Relationship Id="rId17" Type="http://schemas.openxmlformats.org/officeDocument/2006/relationships/hyperlink" Target="https://www.legislation.vic.gov.au/in-force/acts/health-records-act-2001/050" TargetMode="External"/><Relationship Id="rId25" Type="http://schemas.openxmlformats.org/officeDocument/2006/relationships/hyperlink" Target="https://www.nhmrc.gov.au/copyright" TargetMode="External"/><Relationship Id="rId33" Type="http://schemas.openxmlformats.org/officeDocument/2006/relationships/hyperlink" Target="https://www.abs.gov.au/statistics/understanding-statistics/data-confidentiality-guide/five-safes-framework" TargetMode="External"/><Relationship Id="rId38" Type="http://schemas.openxmlformats.org/officeDocument/2006/relationships/hyperlink" Target="https://www.legislation.gov.au/terms-of-use" TargetMode="External"/><Relationship Id="rId46" Type="http://schemas.openxmlformats.org/officeDocument/2006/relationships/hyperlink" Target="https://www.legislation.gov.au/terms-of-use" TargetMode="External"/><Relationship Id="rId59" Type="http://schemas.openxmlformats.org/officeDocument/2006/relationships/hyperlink" Target="https://humanrights.gov.au/__data/assets/file/0025/46933/Ahrc_rightstech_2021_final_summary_1.pdf" TargetMode="External"/><Relationship Id="rId67" Type="http://schemas.openxmlformats.org/officeDocument/2006/relationships/hyperlink" Target="https://www.forgov.qld.gov.au/information-technology/queensland-government-enterprise-architecture-qgea/qgea-directions-and-guidance/qgea-policies-standards-and-guidelines/artificial-intelligence-governance-policy" TargetMode="External"/><Relationship Id="rId20" Type="http://schemas.openxmlformats.org/officeDocument/2006/relationships/hyperlink" Target="https://www.nhmrc.gov.au/copyright" TargetMode="External"/><Relationship Id="rId41" Type="http://schemas.openxmlformats.org/officeDocument/2006/relationships/hyperlink" Target="https://www.oaic.gov.au/about-the-OAIC/copyright" TargetMode="External"/><Relationship Id="rId54" Type="http://schemas.openxmlformats.org/officeDocument/2006/relationships/hyperlink" Target="https://www.legislation.gov.au/C2004A00274/latest/text" TargetMode="External"/><Relationship Id="rId62" Type="http://schemas.openxmlformats.org/officeDocument/2006/relationships/hyperlink" Target="https://www.ai.gov.au/staying-safe-and-responsible/essential-ai-practices/guidance-ai-adoption-implementation-guidance" TargetMode="External"/><Relationship Id="rId70" Type="http://schemas.openxmlformats.org/officeDocument/2006/relationships/hyperlink" Target="https://www.industry.gov.au/science-technology-and-innovation/technology/artificial-intelligence/ai-safety-institute" TargetMode="External"/><Relationship Id="rId75" Type="http://schemas.openxmlformats.org/officeDocument/2006/relationships/hyperlink" Target="https://eur-lex.europa.eu/eli/reg/2024/1689/oj/eng" TargetMode="External"/><Relationship Id="rId83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legislation.qld.gov.au/view/html/inforce/current/act-2009-014" TargetMode="External"/><Relationship Id="rId23" Type="http://schemas.openxmlformats.org/officeDocument/2006/relationships/hyperlink" Target="https://www.nhmrc.gov.au/copyright" TargetMode="External"/><Relationship Id="rId28" Type="http://schemas.openxmlformats.org/officeDocument/2006/relationships/hyperlink" Target="https://www.niaa.gov.au/sites/default/files/documents/2024-05/framework-governance-indigenous-data.pdf" TargetMode="External"/><Relationship Id="rId36" Type="http://schemas.openxmlformats.org/officeDocument/2006/relationships/hyperlink" Target="https://www.legislation.gov.au/terms-of-use" TargetMode="External"/><Relationship Id="rId49" Type="http://schemas.openxmlformats.org/officeDocument/2006/relationships/hyperlink" Target="https://www.safetyandquality.gov.au/clinical-topics/digital-health/artificial-intelligence" TargetMode="External"/><Relationship Id="rId57" Type="http://schemas.openxmlformats.org/officeDocument/2006/relationships/hyperlink" Target="https://www.legislation.gov.au/C2004A01302/latest/versions" TargetMode="External"/><Relationship Id="rId10" Type="http://schemas.openxmlformats.org/officeDocument/2006/relationships/hyperlink" Target="https://www.legislation.gov.au/terms-of-use" TargetMode="External"/><Relationship Id="rId31" Type="http://schemas.openxmlformats.org/officeDocument/2006/relationships/hyperlink" Target="https://www.legislation.gov.au/C2022A00011/latest/text" TargetMode="External"/><Relationship Id="rId44" Type="http://schemas.openxmlformats.org/officeDocument/2006/relationships/hyperlink" Target="https://www.tga.gov.au/products/unapproved-therapeutic-goods/access-pathways/clinical-trials/clinical-trial-notification-ctn-scheme" TargetMode="External"/><Relationship Id="rId52" Type="http://schemas.openxmlformats.org/officeDocument/2006/relationships/hyperlink" Target="https://www.ahpra.gov.au/Resources/Artificial-Intelligence-in-healthcare.aspx" TargetMode="External"/><Relationship Id="rId60" Type="http://schemas.openxmlformats.org/officeDocument/2006/relationships/hyperlink" Target="https://www.nhmrc.gov.au/about-us/publications/statement-consumer-and-community-involvement-health-medical-research" TargetMode="External"/><Relationship Id="rId65" Type="http://schemas.openxmlformats.org/officeDocument/2006/relationships/hyperlink" Target="https://www.digital.gov.au/ai/ai-in-government-policy" TargetMode="External"/><Relationship Id="rId73" Type="http://schemas.openxmlformats.org/officeDocument/2006/relationships/hyperlink" Target="https://store.standards.org.au/product/as-iso-iec-42001-2023?ref=savingsasaservice.com.au" TargetMode="External"/><Relationship Id="rId78" Type="http://schemas.openxmlformats.org/officeDocument/2006/relationships/hyperlink" Target="https://www.digitalhealth.gov.au/sites/default/files/documents/national-digital-health-strategy-2023-2028.pdf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egislation.gov.au/C2004A03712/latest/text" TargetMode="External"/><Relationship Id="rId13" Type="http://schemas.openxmlformats.org/officeDocument/2006/relationships/hyperlink" Target="https://www.nhmrc.gov.au/about-us/publications/guidelines-approved-under-section-95aa-privacy-act-1988-cth" TargetMode="External"/><Relationship Id="rId18" Type="http://schemas.openxmlformats.org/officeDocument/2006/relationships/hyperlink" Target="https://www.legislation.qld.gov.au/copyright" TargetMode="External"/><Relationship Id="rId39" Type="http://schemas.openxmlformats.org/officeDocument/2006/relationships/hyperlink" Target="https://ardc.edu.au/resource/research-data-management-framework-for-institutions/" TargetMode="External"/><Relationship Id="rId34" Type="http://schemas.openxmlformats.org/officeDocument/2006/relationships/hyperlink" Target="https://www.abs.gov.au/website-privacy-copyright-and-disclaimer" TargetMode="External"/><Relationship Id="rId50" Type="http://schemas.openxmlformats.org/officeDocument/2006/relationships/hyperlink" Target="https://www.safetyandquality.gov.au/news-and-media/latest-news/pragmatic-artificial-intelligence-ai-guidance-clinicians" TargetMode="External"/><Relationship Id="rId55" Type="http://schemas.openxmlformats.org/officeDocument/2006/relationships/hyperlink" Target="https://www.legislation.gov.au/C2004A02868/latest/text" TargetMode="External"/><Relationship Id="rId76" Type="http://schemas.openxmlformats.org/officeDocument/2006/relationships/hyperlink" Target="https://www.cyber.gov.au/business-government/asds-cyber-security-frameworks/essential-eight" TargetMode="External"/><Relationship Id="rId7" Type="http://schemas.openxmlformats.org/officeDocument/2006/relationships/hyperlink" Target="https://www.nhmrc.gov.au/about-us/publications/national-statement-ethical-conduct-human-research-2025" TargetMode="External"/><Relationship Id="rId71" Type="http://schemas.openxmlformats.org/officeDocument/2006/relationships/hyperlink" Target="https://www.legislation.gov.au/C1968A00063/latest/text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egislation.gov.au/C2024A00128/asmade/text" TargetMode="External"/><Relationship Id="rId24" Type="http://schemas.openxmlformats.org/officeDocument/2006/relationships/hyperlink" Target="https://www.nhmrc.gov.au/sites/default/files/documents/attachments/Management-of-Data-and-Information-in-Research.pdf" TargetMode="External"/><Relationship Id="rId40" Type="http://schemas.openxmlformats.org/officeDocument/2006/relationships/hyperlink" Target="https://www.oaic.gov.au/privacy/privacy-guidance-for-organisations-and-government-agencies/guidance-on-privacy-and-the-use-of-commercially-available-ai-products" TargetMode="External"/><Relationship Id="rId45" Type="http://schemas.openxmlformats.org/officeDocument/2006/relationships/hyperlink" Target="https://www.tga.gov.au/products/unapproved-therapeutic-goods/access-pathways/clinical-trials/review-clinical-trial-approval-cta-scheme" TargetMode="External"/><Relationship Id="rId66" Type="http://schemas.openxmlformats.org/officeDocument/2006/relationships/hyperlink" Target="https://www.finance.gov.au/government/public-data/public-data-policy/data-governance-framework" TargetMode="External"/><Relationship Id="rId61" Type="http://schemas.openxmlformats.org/officeDocument/2006/relationships/hyperlink" Target="https://www.nhmrc.gov.au/copyright" TargetMode="External"/><Relationship Id="rId8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2C1533C7AD74FAF51DA649FDA7DD4" ma:contentTypeVersion="10" ma:contentTypeDescription="Create a new document." ma:contentTypeScope="" ma:versionID="ed974e5c3963107a817afb4cc3b0f7bd">
  <xsd:schema xmlns:xsd="http://www.w3.org/2001/XMLSchema" xmlns:xs="http://www.w3.org/2001/XMLSchema" xmlns:p="http://schemas.microsoft.com/office/2006/metadata/properties" xmlns:ns2="9e614bff-0aa0-4dc7-ab2a-edf1cba1a7ae" xmlns:ns3="749dd522-d1ed-418e-8882-d8e2115cba44" targetNamespace="http://schemas.microsoft.com/office/2006/metadata/properties" ma:root="true" ma:fieldsID="2f085819e8bf9b2a2c7d5c08d2ec0119" ns2:_="" ns3:_="">
    <xsd:import namespace="9e614bff-0aa0-4dc7-ab2a-edf1cba1a7ae"/>
    <xsd:import namespace="749dd522-d1ed-418e-8882-d8e2115cba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14bff-0aa0-4dc7-ab2a-edf1cba1a7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38a4a9-7397-48a1-b74f-79de11e99f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dd522-d1ed-418e-8882-d8e2115cba4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6c0e47-d0df-41ff-8606-7c6fccd676e9}" ma:internalName="TaxCatchAll" ma:showField="CatchAllData" ma:web="749dd522-d1ed-418e-8882-d8e2115cba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dd522-d1ed-418e-8882-d8e2115cba44" xsi:nil="true"/>
    <lcf76f155ced4ddcb4097134ff3c332f xmlns="9e614bff-0aa0-4dc7-ab2a-edf1cba1a7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0DF272-73F8-4D9A-8D85-B3AFA772F16E}"/>
</file>

<file path=customXml/itemProps2.xml><?xml version="1.0" encoding="utf-8"?>
<ds:datastoreItem xmlns:ds="http://schemas.openxmlformats.org/officeDocument/2006/customXml" ds:itemID="{A4D5EF98-E410-4C2B-B587-9EA359BC8B59}"/>
</file>

<file path=customXml/itemProps3.xml><?xml version="1.0" encoding="utf-8"?>
<ds:datastoreItem xmlns:ds="http://schemas.openxmlformats.org/officeDocument/2006/customXml" ds:itemID="{5E628A77-3D3F-4CA4-B00D-355A48A5B1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3621</Words>
  <Characters>20642</Characters>
  <Application>Microsoft Office Word</Application>
  <DocSecurity>0</DocSecurity>
  <Lines>172</Lines>
  <Paragraphs>48</Paragraphs>
  <ScaleCrop>false</ScaleCrop>
  <Company/>
  <LinksUpToDate>false</LinksUpToDate>
  <CharactersWithSpaces>24215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Guihot</dc:creator>
  <cp:keywords/>
  <dc:description/>
  <cp:lastModifiedBy>Bernadette Hyland-Wood</cp:lastModifiedBy>
  <cp:revision>4</cp:revision>
  <dcterms:created xsi:type="dcterms:W3CDTF">2026-06-26T07:14:00Z</dcterms:created>
  <dcterms:modified xsi:type="dcterms:W3CDTF">2026-07-03T00:49:00Z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0x0101000782C1533C7AD74FAF51DA649FDA7DD4</vt:lpwstr>
  </property>
</Properties>
</file>