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media/rId123.png" ContentType="image/png"/>
  <Override PartName="/word/media/rId31.png" ContentType="image/png"/>
  <Override PartName="/word/media/rId27.png" ContentType="image/png"/>
  <Override PartName="/word/media/rId39.png" ContentType="image/png"/>
  <Override PartName="/word/media/rId35.png" ContentType="image/png"/>
  <Override PartName="/word/media/rId43.png" ContentType="image/png"/>
  <Override PartName="/word/media/rId128.png" ContentType="image/png"/>
  <Override PartName="/word/media/rId113.png" ContentType="image/png"/>
  <Override PartName="/word/media/rId133.png" ContentType="image/png"/>
  <Override PartName="/word/media/rId108.png" ContentType="image/png"/>
  <Override PartName="/word/media/rId48.png" ContentType="image/png"/>
  <Override PartName="/word/media/rId53.png" ContentType="image/png"/>
  <Override PartName="/word/media/rId58.png" ContentType="image/png"/>
  <Override PartName="/word/media/rId63.png" ContentType="image/png"/>
  <Override PartName="/word/media/rId152.png" ContentType="image/png"/>
  <Override PartName="/word/media/rId71.png" ContentType="image/png"/>
  <Override PartName="/word/media/rId156.png" ContentType="image/png"/>
  <Override PartName="/word/media/rId76.png" ContentType="image/png"/>
  <Override PartName="/word/media/rId160.png" ContentType="image/png"/>
  <Override PartName="/word/media/rId81.png" ContentType="image/png"/>
  <Override PartName="/word/media/rId164.png" ContentType="image/png"/>
  <Override PartName="/word/media/rId86.png" ContentType="image/png"/>
  <Override PartName="/word/media/rId169.png" ContentType="image/png"/>
  <Override PartName="/word/media/rId118.png" ContentType="image/png"/>
  <Override PartName="/word/media/rId174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101.png" ContentType="image/png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WP6.1</w:t>
      </w:r>
      <w:r>
        <w:t xml:space="preserve"> </w:t>
      </w:r>
      <w:r>
        <w:t xml:space="preserve">-</w:t>
      </w:r>
      <w:r>
        <w:t xml:space="preserve"> </w:t>
      </w:r>
      <w:r>
        <w:t xml:space="preserve">Learning</w:t>
      </w:r>
      <w:r>
        <w:t xml:space="preserve"> </w:t>
      </w:r>
      <w:r>
        <w:t xml:space="preserve">Needs</w:t>
      </w:r>
      <w:r>
        <w:t xml:space="preserve"> </w:t>
      </w:r>
      <w:r>
        <w:t xml:space="preserve">Characterised</w:t>
      </w:r>
      <w:r>
        <w:t xml:space="preserve"> </w:t>
      </w:r>
      <w:r>
        <w:t xml:space="preserve">by</w:t>
      </w:r>
      <w:r>
        <w:t xml:space="preserve"> </w:t>
      </w:r>
      <w:r>
        <w:t xml:space="preserve">Training</w:t>
      </w:r>
      <w:r>
        <w:t xml:space="preserve"> </w:t>
      </w:r>
      <w:r>
        <w:t xml:space="preserve">Demand,</w:t>
      </w:r>
      <w:r>
        <w:t xml:space="preserve"> </w:t>
      </w:r>
      <w:r>
        <w:t xml:space="preserve">Importance</w:t>
      </w:r>
      <w:r>
        <w:t xml:space="preserve"> </w:t>
      </w:r>
      <w:r>
        <w:t xml:space="preserve">&amp;</w:t>
      </w:r>
      <w:r>
        <w:t xml:space="preserve"> </w:t>
      </w:r>
      <w:r>
        <w:t xml:space="preserve">Impact</w:t>
      </w:r>
    </w:p>
    <w:p>
      <w:pPr>
        <w:pStyle w:val="Author"/>
      </w:pPr>
      <w:r>
        <w:t xml:space="preserve">Jessie</w:t>
      </w:r>
      <w:r>
        <w:t xml:space="preserve"> </w:t>
      </w:r>
      <w:r>
        <w:t xml:space="preserve">Roberts</w:t>
      </w:r>
    </w:p>
    <w:p>
      <w:pPr>
        <w:pStyle w:val="Date"/>
      </w:pPr>
      <w:r>
        <w:t xml:space="preserve">04</w:t>
      </w:r>
      <w:r>
        <w:t xml:space="preserve"> </w:t>
      </w:r>
      <w:r>
        <w:t xml:space="preserve">July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executive-summary"/>
    <w:p>
      <w:pPr>
        <w:pStyle w:val="Heading2"/>
      </w:pPr>
      <w:r>
        <w:t xml:space="preserve">1 Executive Summary</w:t>
      </w:r>
    </w:p>
    <w:p>
      <w:pPr>
        <w:pStyle w:val="FirstParagraph"/>
      </w:pPr>
      <w:r>
        <w:t xml:space="preserve">This report presents the findings of Work Package 6.1, which sought to</w:t>
      </w:r>
      <w:r>
        <w:t xml:space="preserve"> </w:t>
      </w:r>
      <w:r>
        <w:t xml:space="preserve">understand the learning needs of Australian health and medical</w:t>
      </w:r>
      <w:r>
        <w:t xml:space="preserve"> </w:t>
      </w:r>
      <w:r>
        <w:t xml:space="preserve">researchers in advanced analytics and artificial intelligence (AI).</w:t>
      </w:r>
      <w:r>
        <w:t xml:space="preserve"> </w:t>
      </w:r>
      <w:r>
        <w:t xml:space="preserve">Drawing on survey responses from 99 respondents, the survey assessed 57</w:t>
      </w:r>
      <w:r>
        <w:t xml:space="preserve"> </w:t>
      </w:r>
      <w:r>
        <w:t xml:space="preserve">research tools and methods across four domains: programming and data</w:t>
      </w:r>
      <w:r>
        <w:t xml:space="preserve"> </w:t>
      </w:r>
      <w:r>
        <w:t xml:space="preserve">science platforms, statistical and machine learning methods,</w:t>
      </w:r>
      <w:r>
        <w:t xml:space="preserve"> </w:t>
      </w:r>
      <w:r>
        <w:t xml:space="preserve">domain-specific health analytics tools, and AI/LLM platforms. For each</w:t>
      </w:r>
      <w:r>
        <w:t xml:space="preserve"> </w:t>
      </w:r>
      <w:r>
        <w:t xml:space="preserve">tool, respondents reported their current use, current skill level, and</w:t>
      </w:r>
      <w:r>
        <w:t xml:space="preserve"> </w:t>
      </w:r>
      <w:r>
        <w:t xml:space="preserve">priority for training in the next 18 months, from which Training Demand,</w:t>
      </w:r>
      <w:r>
        <w:t xml:space="preserve"> </w:t>
      </w:r>
      <w:r>
        <w:t xml:space="preserve">Training Importance, and Training Impact scores were derived. The survey</w:t>
      </w:r>
      <w:r>
        <w:t xml:space="preserve"> </w:t>
      </w:r>
      <w:r>
        <w:t xml:space="preserve">also captured respondents’ preferred learning formats, time commitments,</w:t>
      </w:r>
      <w:r>
        <w:t xml:space="preserve"> </w:t>
      </w:r>
      <w:r>
        <w:t xml:space="preserve">motivations, and barriers to training participation.</w:t>
      </w:r>
    </w:p>
    <w:p>
      <w:pPr>
        <w:pStyle w:val="BodyText"/>
      </w:pPr>
      <w:r>
        <w:rPr>
          <w:b/>
          <w:bCs/>
        </w:rPr>
        <w:t xml:space="preserve">Deliverable</w:t>
      </w:r>
      <w:r>
        <w:t xml:space="preserve">: a ranked list of training needs, characterised by</w:t>
      </w:r>
      <w:r>
        <w:t xml:space="preserve"> </w:t>
      </w:r>
      <w:r>
        <w:t xml:space="preserve">demand, importance, and potential impact, to inform the resource hub’s</w:t>
      </w:r>
      <w:r>
        <w:t xml:space="preserve"> </w:t>
      </w:r>
      <w:r>
        <w:t xml:space="preserve">training content and discovery tool (Work Packages 6.2–6.5).</w:t>
      </w:r>
    </w:p>
    <w:p>
      <w:pPr>
        <w:pStyle w:val="BodyText"/>
      </w:pPr>
      <w:r>
        <w:rPr>
          <w:b/>
          <w:bCs/>
        </w:rPr>
        <w:t xml:space="preserve">Key findings</w:t>
      </w:r>
    </w:p>
    <w:p>
      <w:pPr>
        <w:pStyle w:val="BodyText"/>
      </w:pPr>
      <w:r>
        <w:t xml:space="preserve">Training demand was diverse, with some demand present across nearly</w:t>
      </w:r>
      <w:r>
        <w:t xml:space="preserve"> </w:t>
      </w:r>
      <w:r>
        <w:t xml:space="preserve">every tool surveyed. Electronic Health Records (EHR) analytics, Computer</w:t>
      </w:r>
      <w:r>
        <w:t xml:space="preserve"> </w:t>
      </w:r>
      <w:r>
        <w:t xml:space="preserve">Vision &amp; Medical Imaging Analysis, and NLP models (BERT, bioBERT, etc)</w:t>
      </w:r>
      <w:r>
        <w:t xml:space="preserve"> </w:t>
      </w:r>
      <w:r>
        <w:t xml:space="preserve">each had more than 40% of respondents indicating they do not currently</w:t>
      </w:r>
      <w:r>
        <w:t xml:space="preserve"> </w:t>
      </w:r>
      <w:r>
        <w:t xml:space="preserve">use the tool but would like to. When ranked by Training Demand,</w:t>
      </w:r>
      <w:r>
        <w:t xml:space="preserve"> </w:t>
      </w:r>
      <w:r>
        <w:t xml:space="preserve">Importance, and Impact combined, EHR analytics, R, Causal Analysis,</w:t>
      </w:r>
      <w:r>
        <w:t xml:space="preserve"> </w:t>
      </w:r>
      <w:r>
        <w:t xml:space="preserve">Regression, and SQL &amp; Database management were the top 5 tools, with EHR</w:t>
      </w:r>
      <w:r>
        <w:t xml:space="preserve"> </w:t>
      </w:r>
      <w:r>
        <w:t xml:space="preserve">analytics ranking first overall on the strength of its Training Impact</w:t>
      </w:r>
      <w:r>
        <w:t xml:space="preserve"> </w:t>
      </w:r>
      <w:r>
        <w:t xml:space="preserve">Score, reflecting both strong interest in using the tool and a</w:t>
      </w:r>
      <w:r>
        <w:t xml:space="preserve"> </w:t>
      </w:r>
      <w:r>
        <w:t xml:space="preserve">substantial skill gap.</w:t>
      </w:r>
    </w:p>
    <w:p>
      <w:pPr>
        <w:pStyle w:val="BodyText"/>
      </w:pPr>
      <w:r>
        <w:t xml:space="preserve">Learning preferences were similarly diverse, though clear patterns</w:t>
      </w:r>
      <w:r>
        <w:t xml:space="preserve"> </w:t>
      </w:r>
      <w:r>
        <w:t xml:space="preserve">emerged. One-on-one mentoring, self-paced online courses, and video</w:t>
      </w:r>
      <w:r>
        <w:t xml:space="preserve"> </w:t>
      </w:r>
      <w:r>
        <w:t xml:space="preserve">tutorials were the most preferred learning formats, while hands-on</w:t>
      </w:r>
      <w:r>
        <w:t xml:space="preserve"> </w:t>
      </w:r>
      <w:r>
        <w:t xml:space="preserve">projects and conference workshops were the least preferred (52% and 39%</w:t>
      </w:r>
      <w:r>
        <w:t xml:space="preserve"> </w:t>
      </w:r>
      <w:r>
        <w:t xml:space="preserve">of respondents rated each</w:t>
      </w:r>
      <w:r>
        <w:t xml:space="preserve"> </w:t>
      </w:r>
      <w:r>
        <w:t xml:space="preserve">“</w:t>
      </w:r>
      <w:r>
        <w:t xml:space="preserve">not preferred at all,</w:t>
      </w:r>
      <w:r>
        <w:t xml:space="preserve">”</w:t>
      </w:r>
      <w:r>
        <w:t xml:space="preserve"> </w:t>
      </w:r>
      <w:r>
        <w:t xml:space="preserve">respectively). Short</w:t>
      </w:r>
      <w:r>
        <w:t xml:space="preserve"> </w:t>
      </w:r>
      <w:r>
        <w:t xml:space="preserve">courses and half-day workshops were the most preferred time commitments</w:t>
      </w:r>
      <w:r>
        <w:t xml:space="preserve"> </w:t>
      </w:r>
      <w:r>
        <w:t xml:space="preserve">(97% and 94% somewhat or most preferred, respectively), while</w:t>
      </w:r>
      <w:r>
        <w:t xml:space="preserve"> </w:t>
      </w:r>
      <w:r>
        <w:t xml:space="preserve">semester-long courses were clearly the least preferred.</w:t>
      </w:r>
    </w:p>
    <w:p>
      <w:pPr>
        <w:pStyle w:val="BodyText"/>
      </w:pPr>
      <w:r>
        <w:t xml:space="preserve">Respondents were motivated to participate in training primarily to</w:t>
      </w:r>
      <w:r>
        <w:t xml:space="preserve"> </w:t>
      </w:r>
      <w:r>
        <w:t xml:space="preserve">develop skills for specific projects or to meet the requirements of</w:t>
      </w:r>
      <w:r>
        <w:t xml:space="preserve"> </w:t>
      </w:r>
      <w:r>
        <w:t xml:space="preserve">their current or future roles. Structured incentives, formal</w:t>
      </w:r>
      <w:r>
        <w:t xml:space="preserve"> </w:t>
      </w:r>
      <w:r>
        <w:t xml:space="preserve">certification, CPD credits, and priority access to compute resources,</w:t>
      </w:r>
      <w:r>
        <w:t xml:space="preserve"> </w:t>
      </w:r>
      <w:r>
        <w:t xml:space="preserve">were, at most, modest motivators: close to half of respondents rated</w:t>
      </w:r>
      <w:r>
        <w:t xml:space="preserve"> </w:t>
      </w:r>
      <w:r>
        <w:t xml:space="preserve">each as</w:t>
      </w:r>
      <w:r>
        <w:t xml:space="preserve"> </w:t>
      </w:r>
      <w:r>
        <w:t xml:space="preserve">“</w:t>
      </w:r>
      <w:r>
        <w:t xml:space="preserve">not a motivator,</w:t>
      </w:r>
      <w:r>
        <w:t xml:space="preserve">”</w:t>
      </w:r>
      <w:r>
        <w:t xml:space="preserve"> </w:t>
      </w:r>
      <w:r>
        <w:t xml:space="preserve">and only around one in five rated them as</w:t>
      </w:r>
      <w:r>
        <w:t xml:space="preserve"> </w:t>
      </w:r>
      <w:r>
        <w:t xml:space="preserve">“</w:t>
      </w:r>
      <w:r>
        <w:t xml:space="preserve">highly motivating.</w:t>
      </w:r>
      <w:r>
        <w:t xml:space="preserve">”</w:t>
      </w:r>
      <w:r>
        <w:t xml:space="preserve"> </w:t>
      </w:r>
      <w:r>
        <w:t xml:space="preserve">Time availability was the dominant barrier to</w:t>
      </w:r>
      <w:r>
        <w:t xml:space="preserve"> </w:t>
      </w:r>
      <w:r>
        <w:t xml:space="preserve">training participation, ahead of cost/licensing and awareness of quality</w:t>
      </w:r>
      <w:r>
        <w:t xml:space="preserve"> </w:t>
      </w:r>
      <w:r>
        <w:t xml:space="preserve">training, underscoring the value of flexible, short-format training and</w:t>
      </w:r>
      <w:r>
        <w:t xml:space="preserve"> </w:t>
      </w:r>
      <w:r>
        <w:t xml:space="preserve">as well as discovery tools that support researcher identify relevant training. Highlighting</w:t>
      </w:r>
      <w:r>
        <w:t xml:space="preserve"> </w:t>
      </w:r>
      <w:r>
        <w:t xml:space="preserve">the importance of the discovery tool detailed in Work Packages 6.4 and 6.5.</w:t>
      </w:r>
    </w:p>
    <w:p>
      <w:pPr>
        <w:pStyle w:val="BodyText"/>
      </w:pPr>
      <w:r>
        <w:t xml:space="preserve">Work Package 6.1 has been an important step in understanding the</w:t>
      </w:r>
      <w:r>
        <w:t xml:space="preserve"> </w:t>
      </w:r>
      <w:r>
        <w:t xml:space="preserve">training and learning needs of the health research community, and its</w:t>
      </w:r>
      <w:r>
        <w:t xml:space="preserve"> </w:t>
      </w:r>
      <w:r>
        <w:t xml:space="preserve">findings will inform the design of the training resource search protocol</w:t>
      </w:r>
      <w:r>
        <w:t xml:space="preserve"> </w:t>
      </w:r>
      <w:r>
        <w:t xml:space="preserve">in Work Packages 6.2 and 6.3, and the training discovery tool in Work Package</w:t>
      </w:r>
      <w:r>
        <w:t xml:space="preserve"> </w:t>
      </w:r>
      <w:r>
        <w:t xml:space="preserve">6.4.</w:t>
      </w:r>
    </w:p>
    <w:bookmarkEnd w:id="20"/>
    <w:bookmarkStart w:id="21" w:name="background"/>
    <w:p>
      <w:pPr>
        <w:pStyle w:val="Heading2"/>
      </w:pPr>
      <w:r>
        <w:t xml:space="preserve">2 Background</w:t>
      </w:r>
    </w:p>
    <w:p>
      <w:pPr>
        <w:pStyle w:val="FirstParagraph"/>
      </w:pPr>
      <w:r>
        <w:t xml:space="preserve">The Australian Research Data Commons (ARDC) health analytics resource</w:t>
      </w:r>
      <w:r>
        <w:t xml:space="preserve"> </w:t>
      </w:r>
      <w:r>
        <w:t xml:space="preserve">hub aims to build capability in advanced analytics and artificial</w:t>
      </w:r>
      <w:r>
        <w:t xml:space="preserve"> </w:t>
      </w:r>
      <w:r>
        <w:t xml:space="preserve">intelligence (AI) across the Australian health research community. To</w:t>
      </w:r>
      <w:r>
        <w:t xml:space="preserve"> </w:t>
      </w:r>
      <w:r>
        <w:t xml:space="preserve">ensure the hub addresses genuine community needs, Work Package 6.1</w:t>
      </w:r>
      <w:r>
        <w:t xml:space="preserve"> </w:t>
      </w:r>
      <w:r>
        <w:t xml:space="preserve">sought to identify and characterise the community’s learning needs</w:t>
      </w:r>
      <w:r>
        <w:t xml:space="preserve"> </w:t>
      </w:r>
      <w:r>
        <w:t xml:space="preserve">through consultation, including focus groups and an online survey. This</w:t>
      </w:r>
      <w:r>
        <w:t xml:space="preserve"> </w:t>
      </w:r>
      <w:r>
        <w:t xml:space="preserve">report summarises the findings of the online survey.</w:t>
      </w:r>
    </w:p>
    <w:bookmarkEnd w:id="21"/>
    <w:bookmarkStart w:id="26" w:name="methods"/>
    <w:p>
      <w:pPr>
        <w:pStyle w:val="Heading2"/>
      </w:pPr>
      <w:r>
        <w:t xml:space="preserve">3 Methods</w:t>
      </w:r>
    </w:p>
    <w:p>
      <w:pPr>
        <w:pStyle w:val="FirstParagraph"/>
      </w:pPr>
      <w:r>
        <w:t xml:space="preserve">This section describes the survey questions relevant to Work Package 6.1</w:t>
      </w:r>
      <w:r>
        <w:t xml:space="preserve"> </w:t>
      </w:r>
      <w:r>
        <w:t xml:space="preserve">(learning needs) and the approach used to calculate Training Demand,</w:t>
      </w:r>
      <w:r>
        <w:t xml:space="preserve"> </w:t>
      </w:r>
      <w:r>
        <w:t xml:space="preserve">Training Importance, and Training Impact scores for each tool.</w:t>
      </w:r>
    </w:p>
    <w:bookmarkStart w:id="22" w:name="development-of-tool-list"/>
    <w:p>
      <w:pPr>
        <w:pStyle w:val="Heading3"/>
      </w:pPr>
      <w:r>
        <w:t xml:space="preserve">3.1 Development of Tool List</w:t>
      </w:r>
    </w:p>
    <w:p>
      <w:pPr>
        <w:pStyle w:val="FirstParagraph"/>
      </w:pPr>
      <w:r>
        <w:t xml:space="preserve">A list of 57 analytics and research tools was compiled from focus group</w:t>
      </w:r>
      <w:r>
        <w:t xml:space="preserve"> </w:t>
      </w:r>
      <w:r>
        <w:t xml:space="preserve">summaries and input from the project team. These tools formed the basis</w:t>
      </w:r>
      <w:r>
        <w:t xml:space="preserve"> </w:t>
      </w:r>
      <w:r>
        <w:t xml:space="preserve">for the survey questions designed to characterise the health research</w:t>
      </w:r>
      <w:r>
        <w:t xml:space="preserve"> </w:t>
      </w:r>
      <w:r>
        <w:t xml:space="preserve">community’s learning needs.</w:t>
      </w:r>
    </w:p>
    <w:bookmarkEnd w:id="22"/>
    <w:bookmarkStart w:id="23" w:name="what-was-measured"/>
    <w:p>
      <w:pPr>
        <w:pStyle w:val="Heading3"/>
      </w:pPr>
      <w:r>
        <w:t xml:space="preserve">3.2 What Was Measured</w:t>
      </w:r>
    </w:p>
    <w:p>
      <w:pPr>
        <w:pStyle w:val="FirstParagraph"/>
      </w:pPr>
      <w:r>
        <w:t xml:space="preserve">Learning needs were assessed across two dimensions:</w:t>
      </w:r>
    </w:p>
    <w:p>
      <w:pPr>
        <w:pStyle w:val="BodyText"/>
      </w:pPr>
      <w:r>
        <w:rPr>
          <w:b/>
          <w:bCs/>
        </w:rPr>
        <w:t xml:space="preserve">What researchers need to learn</w:t>
      </w:r>
      <w:r>
        <w:t xml:space="preserve"> </w:t>
      </w:r>
      <w:r>
        <w:t xml:space="preserve">- Respondents were presented with 57</w:t>
      </w:r>
      <w:r>
        <w:t xml:space="preserve"> </w:t>
      </w:r>
      <w:r>
        <w:t xml:space="preserve">tools, methods, and platforms and asked to indicate their current use on</w:t>
      </w:r>
      <w:r>
        <w:t xml:space="preserve"> </w:t>
      </w:r>
      <w:r>
        <w:t xml:space="preserve">a four-point scale:</w:t>
      </w:r>
      <w:r>
        <w:t xml:space="preserve"> </w:t>
      </w:r>
      <w:r>
        <w:rPr>
          <w:i/>
          <w:iCs/>
        </w:rPr>
        <w:t xml:space="preserve">Currently use, Would like to use, Neither want nor</w:t>
      </w:r>
      <w:r>
        <w:rPr>
          <w:i/>
          <w:iCs/>
        </w:rPr>
        <w:t xml:space="preserve"> </w:t>
      </w:r>
      <w:r>
        <w:rPr>
          <w:i/>
          <w:iCs/>
        </w:rPr>
        <w:t xml:space="preserve">need to use, Unsure what this is / Don’t know enough about</w:t>
      </w:r>
      <w:r>
        <w:t xml:space="preserve">.</w:t>
      </w:r>
    </w:p>
    <w:p>
      <w:pPr>
        <w:pStyle w:val="BodyText"/>
      </w:pPr>
      <w:r>
        <w:t xml:space="preserve">For each tool a respondent indicated they</w:t>
      </w:r>
      <w:r>
        <w:t xml:space="preserve"> </w:t>
      </w:r>
      <w:r>
        <w:rPr>
          <w:i/>
          <w:iCs/>
        </w:rPr>
        <w:t xml:space="preserve">currently use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would like</w:t>
      </w:r>
      <w:r>
        <w:rPr>
          <w:i/>
          <w:iCs/>
        </w:rPr>
        <w:t xml:space="preserve"> </w:t>
      </w:r>
      <w:r>
        <w:rPr>
          <w:i/>
          <w:iCs/>
        </w:rPr>
        <w:t xml:space="preserve">to use</w:t>
      </w:r>
      <w:r>
        <w:t xml:space="preserve">, two follow-up questions were presented: (1) current skill</w:t>
      </w:r>
      <w:r>
        <w:t xml:space="preserve"> </w:t>
      </w:r>
      <w:r>
        <w:t xml:space="preserve">level, and (2) priority for engaging in training in the next 18 months.</w:t>
      </w:r>
    </w:p>
    <w:p>
      <w:pPr>
        <w:numPr>
          <w:ilvl w:val="0"/>
          <w:numId w:val="1001"/>
        </w:numPr>
      </w:pPr>
      <w:r>
        <w:t xml:space="preserve">Current skill level (four-point scale):</w:t>
      </w:r>
      <w:r>
        <w:t xml:space="preserve"> </w:t>
      </w:r>
      <w:r>
        <w:rPr>
          <w:i/>
          <w:iCs/>
        </w:rPr>
        <w:t xml:space="preserve">None, Beginner, Intermediate,</w:t>
      </w:r>
      <w:r>
        <w:rPr>
          <w:i/>
          <w:iCs/>
        </w:rPr>
        <w:t xml:space="preserve"> </w:t>
      </w:r>
      <w:r>
        <w:rPr>
          <w:i/>
          <w:iCs/>
        </w:rPr>
        <w:t xml:space="preserve">Advanced</w:t>
      </w:r>
    </w:p>
    <w:p>
      <w:pPr>
        <w:numPr>
          <w:ilvl w:val="0"/>
          <w:numId w:val="1001"/>
        </w:numPr>
      </w:pPr>
      <w:r>
        <w:t xml:space="preserve">Priority for training in the next 18 months (three-point scale):</w:t>
      </w:r>
      <w:r>
        <w:t xml:space="preserve"> </w:t>
      </w:r>
      <w:r>
        <w:rPr>
          <w:i/>
          <w:iCs/>
        </w:rPr>
        <w:t xml:space="preserve">Not</w:t>
      </w:r>
      <w:r>
        <w:rPr>
          <w:i/>
          <w:iCs/>
        </w:rPr>
        <w:t xml:space="preserve"> </w:t>
      </w:r>
      <w:r>
        <w:rPr>
          <w:i/>
          <w:iCs/>
        </w:rPr>
        <w:t xml:space="preserve">a priority, Somewhat a priority, High priority</w:t>
      </w:r>
    </w:p>
    <w:p>
      <w:pPr>
        <w:pStyle w:val="FirstParagraph"/>
      </w:pPr>
      <w:r>
        <w:rPr>
          <w:b/>
          <w:bCs/>
        </w:rPr>
        <w:t xml:space="preserve">How researchers want to learn</w:t>
      </w:r>
      <w:r>
        <w:t xml:space="preserve">: Respondents rated a range of delivery</w:t>
      </w:r>
      <w:r>
        <w:t xml:space="preserve"> </w:t>
      </w:r>
      <w:r>
        <w:t xml:space="preserve">formats and time commitment options on a three-point preference scale</w:t>
      </w:r>
      <w:r>
        <w:t xml:space="preserve"> </w:t>
      </w:r>
      <w:r>
        <w:t xml:space="preserve">(</w:t>
      </w:r>
      <w:r>
        <w:rPr>
          <w:i/>
          <w:iCs/>
        </w:rPr>
        <w:t xml:space="preserve">Not preferred at all, Somewhat preferred, Most preferred</w:t>
      </w:r>
      <w:r>
        <w:t xml:space="preserve">), and</w:t>
      </w:r>
      <w:r>
        <w:t xml:space="preserve"> </w:t>
      </w:r>
      <w:r>
        <w:t xml:space="preserve">identified their motivations for, and barriers to, training</w:t>
      </w:r>
      <w:r>
        <w:t xml:space="preserve"> </w:t>
      </w:r>
      <w:r>
        <w:t xml:space="preserve">participation.</w:t>
      </w:r>
    </w:p>
    <w:p>
      <w:pPr>
        <w:pStyle w:val="BodyText"/>
      </w:pPr>
      <w:r>
        <w:rPr>
          <w:i/>
          <w:iCs/>
        </w:rPr>
        <w:t xml:space="preserve">Delivery format options (12):</w:t>
      </w:r>
    </w:p>
    <w:p>
      <w:pPr>
        <w:pStyle w:val="Compact"/>
        <w:numPr>
          <w:ilvl w:val="0"/>
          <w:numId w:val="1002"/>
        </w:numPr>
      </w:pPr>
      <w:r>
        <w:t xml:space="preserve">Self-paced online courses</w:t>
      </w:r>
    </w:p>
    <w:p>
      <w:pPr>
        <w:pStyle w:val="Compact"/>
        <w:numPr>
          <w:ilvl w:val="0"/>
          <w:numId w:val="1002"/>
        </w:numPr>
      </w:pPr>
      <w:r>
        <w:t xml:space="preserve">Live online workshops</w:t>
      </w:r>
    </w:p>
    <w:p>
      <w:pPr>
        <w:pStyle w:val="Compact"/>
        <w:numPr>
          <w:ilvl w:val="0"/>
          <w:numId w:val="1002"/>
        </w:numPr>
      </w:pPr>
      <w:r>
        <w:t xml:space="preserve">In-person workshops</w:t>
      </w:r>
    </w:p>
    <w:p>
      <w:pPr>
        <w:pStyle w:val="Compact"/>
        <w:numPr>
          <w:ilvl w:val="0"/>
          <w:numId w:val="1002"/>
        </w:numPr>
      </w:pPr>
      <w:r>
        <w:t xml:space="preserve">One-on-one mentoring</w:t>
      </w:r>
    </w:p>
    <w:p>
      <w:pPr>
        <w:pStyle w:val="Compact"/>
        <w:numPr>
          <w:ilvl w:val="0"/>
          <w:numId w:val="1002"/>
        </w:numPr>
      </w:pPr>
      <w:r>
        <w:t xml:space="preserve">Peer learning groups</w:t>
      </w:r>
    </w:p>
    <w:p>
      <w:pPr>
        <w:pStyle w:val="Compact"/>
        <w:numPr>
          <w:ilvl w:val="0"/>
          <w:numId w:val="1002"/>
        </w:numPr>
      </w:pPr>
      <w:r>
        <w:t xml:space="preserve">Documentation and tutorials</w:t>
      </w:r>
    </w:p>
    <w:p>
      <w:pPr>
        <w:pStyle w:val="Compact"/>
        <w:numPr>
          <w:ilvl w:val="0"/>
          <w:numId w:val="1002"/>
        </w:numPr>
      </w:pPr>
      <w:r>
        <w:t xml:space="preserve">Video tutorials</w:t>
      </w:r>
    </w:p>
    <w:p>
      <w:pPr>
        <w:pStyle w:val="Compact"/>
        <w:numPr>
          <w:ilvl w:val="0"/>
          <w:numId w:val="1002"/>
        </w:numPr>
      </w:pPr>
      <w:r>
        <w:t xml:space="preserve">Hands-on projects</w:t>
      </w:r>
    </w:p>
    <w:p>
      <w:pPr>
        <w:pStyle w:val="Compact"/>
        <w:numPr>
          <w:ilvl w:val="0"/>
          <w:numId w:val="1002"/>
        </w:numPr>
      </w:pPr>
      <w:r>
        <w:t xml:space="preserve">Conference workshops</w:t>
      </w:r>
    </w:p>
    <w:p>
      <w:pPr>
        <w:pStyle w:val="Compact"/>
        <w:numPr>
          <w:ilvl w:val="0"/>
          <w:numId w:val="1002"/>
        </w:numPr>
      </w:pPr>
      <w:r>
        <w:t xml:space="preserve">Certification programs</w:t>
      </w:r>
    </w:p>
    <w:p>
      <w:pPr>
        <w:pStyle w:val="Compact"/>
        <w:numPr>
          <w:ilvl w:val="0"/>
          <w:numId w:val="1002"/>
        </w:numPr>
      </w:pPr>
      <w:r>
        <w:t xml:space="preserve">Reading research papers</w:t>
      </w:r>
    </w:p>
    <w:p>
      <w:pPr>
        <w:pStyle w:val="Compact"/>
        <w:numPr>
          <w:ilvl w:val="0"/>
          <w:numId w:val="1002"/>
        </w:numPr>
      </w:pPr>
      <w:r>
        <w:t xml:space="preserve">Other</w:t>
      </w:r>
    </w:p>
    <w:p>
      <w:pPr>
        <w:pStyle w:val="FirstParagraph"/>
      </w:pPr>
      <w:r>
        <w:rPr>
          <w:i/>
          <w:iCs/>
        </w:rPr>
        <w:t xml:space="preserve">Time commitment options (9):</w:t>
      </w:r>
    </w:p>
    <w:p>
      <w:pPr>
        <w:pStyle w:val="Compact"/>
        <w:numPr>
          <w:ilvl w:val="0"/>
          <w:numId w:val="1003"/>
        </w:numPr>
      </w:pPr>
      <w:r>
        <w:t xml:space="preserve">Micro-learning (15–30 min sessions, just-in-time)</w:t>
      </w:r>
    </w:p>
    <w:p>
      <w:pPr>
        <w:pStyle w:val="Compact"/>
        <w:numPr>
          <w:ilvl w:val="0"/>
          <w:numId w:val="1003"/>
        </w:numPr>
      </w:pPr>
      <w:r>
        <w:t xml:space="preserve">Short courses (1–2 hours, single topic)</w:t>
      </w:r>
    </w:p>
    <w:p>
      <w:pPr>
        <w:pStyle w:val="Compact"/>
        <w:numPr>
          <w:ilvl w:val="0"/>
          <w:numId w:val="1003"/>
        </w:numPr>
      </w:pPr>
      <w:r>
        <w:t xml:space="preserve">Half-day workshops (3–4 hours)</w:t>
      </w:r>
    </w:p>
    <w:p>
      <w:pPr>
        <w:pStyle w:val="Compact"/>
        <w:numPr>
          <w:ilvl w:val="0"/>
          <w:numId w:val="1003"/>
        </w:numPr>
      </w:pPr>
      <w:r>
        <w:t xml:space="preserve">Full-day workshops (6–8 hours)</w:t>
      </w:r>
    </w:p>
    <w:p>
      <w:pPr>
        <w:pStyle w:val="Compact"/>
        <w:numPr>
          <w:ilvl w:val="0"/>
          <w:numId w:val="1003"/>
        </w:numPr>
      </w:pPr>
      <w:r>
        <w:t xml:space="preserve">Multi-week courses (2–3 hours/week over 4–8 weeks)</w:t>
      </w:r>
    </w:p>
    <w:p>
      <w:pPr>
        <w:pStyle w:val="Compact"/>
        <w:numPr>
          <w:ilvl w:val="0"/>
          <w:numId w:val="1003"/>
        </w:numPr>
      </w:pPr>
      <w:r>
        <w:t xml:space="preserve">Intensive bootcamps (multiple full days)</w:t>
      </w:r>
    </w:p>
    <w:p>
      <w:pPr>
        <w:pStyle w:val="Compact"/>
        <w:numPr>
          <w:ilvl w:val="0"/>
          <w:numId w:val="1003"/>
        </w:numPr>
      </w:pPr>
      <w:r>
        <w:t xml:space="preserve">Semester-long courses (10–15 weeks)</w:t>
      </w:r>
    </w:p>
    <w:p>
      <w:pPr>
        <w:pStyle w:val="Compact"/>
        <w:numPr>
          <w:ilvl w:val="0"/>
          <w:numId w:val="1003"/>
        </w:numPr>
      </w:pPr>
      <w:r>
        <w:t xml:space="preserve">Self-paced (complete at own speed over months)</w:t>
      </w:r>
    </w:p>
    <w:p>
      <w:pPr>
        <w:pStyle w:val="Compact"/>
        <w:numPr>
          <w:ilvl w:val="0"/>
          <w:numId w:val="1003"/>
        </w:numPr>
      </w:pPr>
      <w:r>
        <w:t xml:space="preserve">Other</w:t>
      </w:r>
    </w:p>
    <w:bookmarkEnd w:id="23"/>
    <w:bookmarkStart w:id="24" w:name="handling-of-non-response"/>
    <w:p>
      <w:pPr>
        <w:pStyle w:val="Heading3"/>
      </w:pPr>
      <w:r>
        <w:t xml:space="preserve">3.3 Handling of Non-Response</w:t>
      </w:r>
    </w:p>
    <w:p>
      <w:pPr>
        <w:pStyle w:val="FirstParagraph"/>
      </w:pPr>
      <w:r>
        <w:t xml:space="preserve">Not every respondent who answered a tool’s usage question went on to</w:t>
      </w:r>
      <w:r>
        <w:t xml:space="preserve"> </w:t>
      </w:r>
      <w:r>
        <w:t xml:space="preserve">answer that tool’s skill level and training priority follow-up</w:t>
      </w:r>
      <w:r>
        <w:t xml:space="preserve"> </w:t>
      </w:r>
      <w:r>
        <w:t xml:space="preserve">questions. The treatment of non-response differs between these two</w:t>
      </w:r>
      <w:r>
        <w:t xml:space="preserve"> </w:t>
      </w:r>
      <w:r>
        <w:t xml:space="preserve">measures, reflecting a difference in what can reasonably be inferred.</w:t>
      </w:r>
    </w:p>
    <w:p>
      <w:pPr>
        <w:pStyle w:val="BodyText"/>
      </w:pPr>
      <w:r>
        <w:rPr>
          <w:b/>
          <w:bCs/>
        </w:rPr>
        <w:t xml:space="preserve">Training priority</w:t>
      </w:r>
      <w:r>
        <w:t xml:space="preserve"> </w:t>
      </w:r>
      <w:r>
        <w:t xml:space="preserve">is imputed from the usage response where the</w:t>
      </w:r>
      <w:r>
        <w:t xml:space="preserve"> </w:t>
      </w:r>
      <w:r>
        <w:t xml:space="preserve">inference is logically defensible, since both measures speak to the same</w:t>
      </w:r>
      <w:r>
        <w:t xml:space="preserve"> </w:t>
      </w:r>
      <w:r>
        <w:t xml:space="preserve">underlying construct: future intent toward the tool. A respondent who</w:t>
      </w:r>
      <w:r>
        <w:t xml:space="preserve"> </w:t>
      </w:r>
      <w:r>
        <w:t xml:space="preserve">indicated they</w:t>
      </w:r>
      <w:r>
        <w:t xml:space="preserve"> </w:t>
      </w:r>
      <w:r>
        <w:t xml:space="preserve">“</w:t>
      </w:r>
      <w:r>
        <w:t xml:space="preserve">neither want nor need</w:t>
      </w:r>
      <w:r>
        <w:t xml:space="preserve">”</w:t>
      </w:r>
      <w:r>
        <w:t xml:space="preserve"> </w:t>
      </w:r>
      <w:r>
        <w:t xml:space="preserve">a tool is recorded as having</w:t>
      </w:r>
      <w:r>
        <w:t xml:space="preserve"> </w:t>
      </w:r>
      <w:r>
        <w:t xml:space="preserve">“</w:t>
      </w:r>
      <w:r>
        <w:t xml:space="preserve">Not</w:t>
      </w:r>
      <w:r>
        <w:t xml:space="preserve"> </w:t>
      </w:r>
      <w:r>
        <w:t xml:space="preserve">a priority</w:t>
      </w:r>
      <w:r>
        <w:t xml:space="preserve">”</w:t>
      </w:r>
      <w:r>
        <w:t xml:space="preserve"> </w:t>
      </w:r>
      <w:r>
        <w:t xml:space="preserve">for training in it; a respondent who indicated</w:t>
      </w:r>
      <w:r>
        <w:t xml:space="preserve"> </w:t>
      </w:r>
      <w:r>
        <w:t xml:space="preserve">“</w:t>
      </w:r>
      <w:r>
        <w:t xml:space="preserve">don’t know</w:t>
      </w:r>
      <w:r>
        <w:t xml:space="preserve"> </w:t>
      </w:r>
      <w:r>
        <w:t xml:space="preserve">enough</w:t>
      </w:r>
      <w:r>
        <w:t xml:space="preserve">”</w:t>
      </w:r>
      <w:r>
        <w:t xml:space="preserve"> </w:t>
      </w:r>
      <w:r>
        <w:t xml:space="preserve">about a tool is recorded as</w:t>
      </w:r>
      <w:r>
        <w:t xml:space="preserve"> </w:t>
      </w:r>
      <w:r>
        <w:t xml:space="preserve">“</w:t>
      </w:r>
      <w:r>
        <w:t xml:space="preserve">don’t know enough</w:t>
      </w:r>
      <w:r>
        <w:t xml:space="preserve">”</w:t>
      </w:r>
      <w:r>
        <w:t xml:space="preserve"> </w:t>
      </w:r>
      <w:r>
        <w:t xml:space="preserve">for training</w:t>
      </w:r>
      <w:r>
        <w:t xml:space="preserve"> </w:t>
      </w:r>
      <w:r>
        <w:t xml:space="preserve">priority. Respondents who indicated they</w:t>
      </w:r>
      <w:r>
        <w:t xml:space="preserve"> </w:t>
      </w:r>
      <w:r>
        <w:t xml:space="preserve">“</w:t>
      </w:r>
      <w:r>
        <w:t xml:space="preserve">currently use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would like</w:t>
      </w:r>
      <w:r>
        <w:t xml:space="preserve"> </w:t>
      </w:r>
      <w:r>
        <w:t xml:space="preserve">to use</w:t>
      </w:r>
      <w:r>
        <w:t xml:space="preserve">”</w:t>
      </w:r>
      <w:r>
        <w:t xml:space="preserve"> </w:t>
      </w:r>
      <w:r>
        <w:t xml:space="preserve">a tool, but did not answer the training priority question, are</w:t>
      </w:r>
      <w:r>
        <w:t xml:space="preserve"> </w:t>
      </w:r>
      <w:r>
        <w:t xml:space="preserve">recorded as</w:t>
      </w:r>
      <w:r>
        <w:t xml:space="preserve"> </w:t>
      </w:r>
      <w:r>
        <w:t xml:space="preserve">“</w:t>
      </w:r>
      <w:r>
        <w:t xml:space="preserve">No response</w:t>
      </w:r>
      <w:r>
        <w:t xml:space="preserve">”</w:t>
      </w:r>
      <w:r>
        <w:t xml:space="preserve"> </w:t>
      </w:r>
      <w:r>
        <w:t xml:space="preserve">– a genuine non-answer, since no inference</w:t>
      </w:r>
      <w:r>
        <w:t xml:space="preserve"> </w:t>
      </w:r>
      <w:r>
        <w:t xml:space="preserve">can be drawn from their usage response alone.</w:t>
      </w:r>
    </w:p>
    <w:p>
      <w:pPr>
        <w:pStyle w:val="BodyText"/>
      </w:pPr>
      <w:r>
        <w:rPr>
          <w:b/>
          <w:bCs/>
        </w:rPr>
        <w:t xml:space="preserve">Current skill level</w:t>
      </w:r>
      <w:r>
        <w:t xml:space="preserve"> </w:t>
      </w:r>
      <w:r>
        <w:t xml:space="preserve">is never imputed. A usage response tells us</w:t>
      </w:r>
      <w:r>
        <w:t xml:space="preserve"> </w:t>
      </w:r>
      <w:r>
        <w:t xml:space="preserve">about a respondent’s interest in or awareness of a tool, but not about</w:t>
      </w:r>
      <w:r>
        <w:t xml:space="preserve"> </w:t>
      </w:r>
      <w:r>
        <w:t xml:space="preserve">their actual competence with it – a respondent could retain real prior</w:t>
      </w:r>
      <w:r>
        <w:t xml:space="preserve"> </w:t>
      </w:r>
      <w:r>
        <w:t xml:space="preserve">skill in a tool they no longer wish to use. Every respondent without a</w:t>
      </w:r>
      <w:r>
        <w:t xml:space="preserve"> </w:t>
      </w:r>
      <w:r>
        <w:t xml:space="preserve">directly-answered skill response is therefore recorded as</w:t>
      </w:r>
      <w:r>
        <w:t xml:space="preserve"> </w:t>
      </w:r>
      <w:r>
        <w:t xml:space="preserve">“</w:t>
      </w:r>
      <w:r>
        <w:t xml:space="preserve">No response</w:t>
      </w:r>
      <w:r>
        <w:t xml:space="preserve">”</w:t>
      </w:r>
      <w:r>
        <w:t xml:space="preserve">,</w:t>
      </w:r>
      <w:r>
        <w:t xml:space="preserve"> </w:t>
      </w:r>
      <w:r>
        <w:t xml:space="preserve">regardless of their usage response.</w:t>
      </w:r>
    </w:p>
    <w:p>
      <w:pPr>
        <w:pStyle w:val="BodyText"/>
      </w:pPr>
      <w:r>
        <w:t xml:space="preserve">One consequence of this approach is that Training Impact Score and Total</w:t>
      </w:r>
      <w:r>
        <w:t xml:space="preserve"> </w:t>
      </w:r>
      <w:r>
        <w:t xml:space="preserve">Score are undefined (NA) for any tool where no respondent provided a</w:t>
      </w:r>
      <w:r>
        <w:t xml:space="preserve"> </w:t>
      </w:r>
      <w:r>
        <w:t xml:space="preserve">direct skill response at all. This occurs for a small number of tools</w:t>
      </w:r>
      <w:r>
        <w:t xml:space="preserve"> </w:t>
      </w:r>
      <w:r>
        <w:t xml:space="preserve">that were inadvertently omitted from the skill and training priority</w:t>
      </w:r>
      <w:r>
        <w:t xml:space="preserve"> </w:t>
      </w:r>
      <w:r>
        <w:t xml:space="preserve">follow-up questions when the survey instrument was constructed; see</w:t>
      </w:r>
      <w:r>
        <w:t xml:space="preserve"> </w:t>
      </w:r>
      <w:r>
        <w:rPr>
          <w:i/>
          <w:iCs/>
        </w:rPr>
        <w:t xml:space="preserve">Notable Anomalies</w:t>
      </w:r>
      <w:r>
        <w:t xml:space="preserve"> </w:t>
      </w:r>
      <w:r>
        <w:t xml:space="preserve">for the full list of affected tools and how this was</w:t>
      </w:r>
      <w:r>
        <w:t xml:space="preserve"> </w:t>
      </w:r>
      <w:r>
        <w:t xml:space="preserve">addressed in the tool shortlist carried forward to Work Package 6.2.</w:t>
      </w:r>
    </w:p>
    <w:bookmarkEnd w:id="24"/>
    <w:bookmarkStart w:id="25" w:name="how-learning-needs-were-scored"/>
    <w:p>
      <w:pPr>
        <w:pStyle w:val="Heading3"/>
      </w:pPr>
      <w:r>
        <w:t xml:space="preserve">3.4 How Learning Needs Were Scored</w:t>
      </w:r>
    </w:p>
    <w:p>
      <w:pPr>
        <w:pStyle w:val="FirstParagraph"/>
      </w:pPr>
      <w:r>
        <w:t xml:space="preserve">To rank tools in terms of the community’s learning needs, three scores</w:t>
      </w:r>
      <w:r>
        <w:t xml:space="preserve"> </w:t>
      </w:r>
      <w:r>
        <w:t xml:space="preserve">were assigned to each tool: Training Demand, Training Importance, and</w:t>
      </w:r>
      <w:r>
        <w:t xml:space="preserve"> </w:t>
      </w:r>
      <w:r>
        <w:t xml:space="preserve">Training Impact.</w:t>
      </w:r>
    </w:p>
    <w:p>
      <w:pPr>
        <w:pStyle w:val="BodyText"/>
      </w:pPr>
      <w:r>
        <w:rPr>
          <w:b/>
          <w:bCs/>
        </w:rPr>
        <w:t xml:space="preserve">Training Demand Score</w:t>
      </w:r>
      <w:r>
        <w:t xml:space="preserve">: A measure of intent to engage in training for</w:t>
      </w:r>
      <w:r>
        <w:t xml:space="preserve"> </w:t>
      </w:r>
      <w:r>
        <w:t xml:space="preserve">a specific tool or method within the next 18 months. A weighting of 1.5</w:t>
      </w:r>
      <w:r>
        <w:t xml:space="preserve"> </w:t>
      </w:r>
      <w:r>
        <w:t xml:space="preserve">is applied to the proportion of respondents who indicated training was a</w:t>
      </w:r>
      <w:r>
        <w:t xml:space="preserve"> </w:t>
      </w:r>
      <w:r>
        <w:rPr>
          <w:rStyle w:val="VerbatimChar"/>
        </w:rPr>
        <w:t xml:space="preserve">high priority</w:t>
      </w:r>
      <w:r>
        <w:t xml:space="preserve">, relative to those who indicated it was</w:t>
      </w:r>
      <w:r>
        <w:t xml:space="preserve"> </w:t>
      </w:r>
      <w:r>
        <w:rPr>
          <w:rStyle w:val="VerbatimChar"/>
        </w:rPr>
        <w:t xml:space="preserve">somewhat a priority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p"/>
                  </m:rPr>
                  <m:t>Training Demand Score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%</m:t>
                    </m:r>
                    <m:r>
                      <m:rPr>
                        <m:nor/>
                        <m:sty m:val="p"/>
                      </m:rPr>
                      <m:t> High priority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1.5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%</m:t>
                </m:r>
                <m:r>
                  <m:rPr>
                    <m:nor/>
                    <m:sty m:val="p"/>
                  </m:rPr>
                  <m:t> Somewhat a priority</m:t>
                </m:r>
              </m:e>
            </m:mr>
          </m:m>
        </m:oMath>
      </m:oMathPara>
    </w:p>
    <w:p>
      <w:pPr>
        <w:pStyle w:val="FirstParagraph"/>
      </w:pPr>
      <w:r>
        <w:rPr>
          <w:b/>
          <w:bCs/>
        </w:rPr>
        <w:t xml:space="preserve">Training Importance Score</w:t>
      </w:r>
      <w:r>
        <w:t xml:space="preserve">: A measure of a tool’s importance within</w:t>
      </w:r>
      <w:r>
        <w:t xml:space="preserve"> </w:t>
      </w:r>
      <w:r>
        <w:t xml:space="preserve">the current health research workflow, combining demand for training with</w:t>
      </w:r>
      <w:r>
        <w:t xml:space="preserve"> </w:t>
      </w:r>
      <w:r>
        <w:t xml:space="preserve">demand for the tool itself. A tool with high training demand but a small</w:t>
      </w:r>
      <w:r>
        <w:t xml:space="preserve"> </w:t>
      </w:r>
      <w:r>
        <w:t xml:space="preserve">user base will score lower than one with equivalent training demand but</w:t>
      </w:r>
      <w:r>
        <w:t xml:space="preserve"> </w:t>
      </w:r>
      <w:r>
        <w:t xml:space="preserve">broader uptake. In this way, tools that are central to the research</w:t>
      </w:r>
      <w:r>
        <w:t xml:space="preserve"> </w:t>
      </w:r>
      <w:r>
        <w:t xml:space="preserve">community are weighted more heavily.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p"/>
                  </m:rPr>
                  <m:t>Training Importance Score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Training Demand Score</m:t>
                </m:r>
                <m:r>
                  <m:rPr>
                    <m:sty m:val="p"/>
                  </m:rPr>
                  <m:t>×</m:t>
                </m:r>
                <m:r>
                  <m:rPr>
                    <m:nor/>
                    <m:sty m:val="p"/>
                  </m:rPr>
                  <m:t>Tool Demand Score</m:t>
                </m:r>
              </m:e>
            </m:mr>
          </m:m>
        </m:oMath>
      </m:oMathPara>
    </w:p>
    <w:p>
      <w:pPr>
        <w:pStyle w:val="FirstParagraph"/>
      </w:pPr>
      <w:r>
        <w:t xml:space="preserve">Where: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p"/>
                  </m:rPr>
                  <m:t>Tool Demand Score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%</m:t>
                </m:r>
                <m:r>
                  <m:rPr>
                    <m:nor/>
                    <m:sty m:val="p"/>
                  </m:rPr>
                  <m:t> Currently use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%</m:t>
                </m:r>
                <m:r>
                  <m:rPr>
                    <m:nor/>
                    <m:sty m:val="p"/>
                  </m:rPr>
                  <m:t> Would like to use</m:t>
                </m:r>
              </m:e>
            </m:mr>
          </m:m>
        </m:oMath>
      </m:oMathPara>
    </w:p>
    <w:p>
      <w:pPr>
        <w:pStyle w:val="FirstParagraph"/>
      </w:pPr>
      <w:r>
        <w:rPr>
          <w:b/>
          <w:bCs/>
        </w:rPr>
        <w:t xml:space="preserve">Training Impact Score</w:t>
      </w:r>
      <w:r>
        <w:t xml:space="preserve">: Identifies training opportunities with the</w:t>
      </w:r>
      <w:r>
        <w:t xml:space="preserve"> </w:t>
      </w:r>
      <w:r>
        <w:t xml:space="preserve">greatest potential for positive impact by combining tool demand with the</w:t>
      </w:r>
      <w:r>
        <w:t xml:space="preserve"> </w:t>
      </w:r>
      <w:r>
        <w:t xml:space="preserve">magnitude of the existing skill gap. Tools for which there is both</w:t>
      </w:r>
      <w:r>
        <w:t xml:space="preserve"> </w:t>
      </w:r>
      <w:r>
        <w:t xml:space="preserve">strong demand and a large proportion of users at low skill levels are</w:t>
      </w:r>
      <w:r>
        <w:t xml:space="preserve"> </w:t>
      </w:r>
      <w:r>
        <w:t xml:space="preserve">those for which training is likely to be most transformative.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p"/>
                  </m:rPr>
                  <m:t>Training Impact Score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Tool Demand Score</m:t>
                </m:r>
                <m:r>
                  <m:rPr>
                    <m:sty m:val="p"/>
                  </m:rPr>
                  <m:t>×</m:t>
                </m:r>
                <m:r>
                  <m:rPr>
                    <m:nor/>
                    <m:sty m:val="p"/>
                  </m:rPr>
                  <m:t>Skill Gap Score</m:t>
                </m:r>
              </m:e>
            </m:mr>
          </m:m>
        </m:oMath>
      </m:oMathPara>
    </w:p>
    <w:p>
      <w:pPr>
        <w:pStyle w:val="FirstParagraph"/>
      </w:pPr>
      <w:r>
        <w:t xml:space="preserve">Where: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p"/>
                  </m:rPr>
                  <m:t>Skill Gap Score</m:t>
                </m:r>
                <m:r>
                  <m:rPr>
                    <m:sty m:val="p"/>
                  </m:rPr>
                  <m:t>=</m:t>
                </m:r>
              </m:e>
              <m:e>
                <m:r>
                  <m:t> 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%</m:t>
                    </m:r>
                    <m:r>
                      <m:rPr>
                        <m:nor/>
                        <m:sty m:val="p"/>
                      </m:rPr>
                      <m:t> Beginner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%</m:t>
                    </m:r>
                    <m:r>
                      <m:rPr>
                        <m:nor/>
                        <m:sty m:val="p"/>
                      </m:rPr>
                      <m:t> None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%</m:t>
                </m:r>
                <m:r>
                  <m:rPr>
                    <m:nor/>
                    <m:sty m:val="p"/>
                  </m:rPr>
                  <m:t> Intermediate</m:t>
                </m:r>
              </m:e>
            </m:mr>
            <m:mr>
              <m:e/>
              <m:e>
                <m:r>
                  <m:rPr>
                    <m:sty m:val="p"/>
                  </m:rPr>
                  <m:t>+</m:t>
                </m:r>
                <m:r>
                  <m:t>0.5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%</m:t>
                </m:r>
                <m:r>
                  <m:rPr>
                    <m:nor/>
                    <m:sty m:val="p"/>
                  </m:rPr>
                  <m:t> Advanced</m:t>
                </m:r>
              </m:e>
            </m:mr>
          </m:m>
        </m:oMath>
      </m:oMathPara>
    </w:p>
    <w:p>
      <w:r>
        <w:br w:type="page"/>
      </w:r>
    </w:p>
    <w:bookmarkEnd w:id="25"/>
    <w:bookmarkEnd w:id="26"/>
    <w:bookmarkStart w:id="139" w:name="results"/>
    <w:p>
      <w:pPr>
        <w:pStyle w:val="Heading2"/>
      </w:pPr>
      <w:r>
        <w:t xml:space="preserve">4 Results</w:t>
      </w:r>
    </w:p>
    <w:bookmarkStart w:id="47" w:name="survey-respondents"/>
    <w:p>
      <w:pPr>
        <w:pStyle w:val="Heading3"/>
      </w:pPr>
      <w:r>
        <w:t xml:space="preserve">4.1 Survey Respondents</w:t>
      </w:r>
    </w:p>
    <w:p>
      <w:pPr>
        <w:pStyle w:val="FirstParagraph"/>
      </w:pPr>
      <w:r>
        <w:t xml:space="preserve">99 respondents completed the survey. The majority were based in</w:t>
      </w:r>
      <w:r>
        <w:t xml:space="preserve"> </w:t>
      </w:r>
      <w:r>
        <w:t xml:space="preserve">Australia (77.8%), consistent with the project’s focus on the Australian</w:t>
      </w:r>
      <w:r>
        <w:t xml:space="preserve"> </w:t>
      </w:r>
      <w:r>
        <w:t xml:space="preserve">health research community. Respondents’ research areas were diverse,</w:t>
      </w:r>
      <w:r>
        <w:t xml:space="preserve"> </w:t>
      </w:r>
      <w:r>
        <w:t xml:space="preserve">with Computational/data science the single largest group (21.2%),</w:t>
      </w:r>
      <w:r>
        <w:t xml:space="preserve"> </w:t>
      </w:r>
      <w:r>
        <w:t xml:space="preserve">followed by Population health/epidemiology (16.2%); the remaining</w:t>
      </w:r>
      <w:r>
        <w:t xml:space="preserve"> </w:t>
      </w:r>
      <w:r>
        <w:t xml:space="preserve">respondents were spread across research areas. By career stage, the</w:t>
      </w:r>
      <w:r>
        <w:t xml:space="preserve"> </w:t>
      </w:r>
      <w:r>
        <w:t xml:space="preserve">largest single group was Professional/technical staff (29.3%), followed</w:t>
      </w:r>
      <w:r>
        <w:t xml:space="preserve"> </w:t>
      </w:r>
      <w:r>
        <w:t xml:space="preserve">by Senior researchers (14.1%), Students (13.1%), Mid-career researchers</w:t>
      </w:r>
      <w:r>
        <w:t xml:space="preserve"> </w:t>
      </w:r>
      <w:r>
        <w:t xml:space="preserve">(9.1%), and Early career researchers (8.1%). By primary position,</w:t>
      </w:r>
      <w:r>
        <w:t xml:space="preserve"> </w:t>
      </w:r>
      <w:r>
        <w:t xml:space="preserve">respondents were fairly evenly split between Academic Researchers</w:t>
      </w:r>
      <w:r>
        <w:t xml:space="preserve"> </w:t>
      </w:r>
      <w:r>
        <w:t xml:space="preserve">(24.2%), Analysts/Technical officers (22.2%), and</w:t>
      </w:r>
      <w:r>
        <w:t xml:space="preserve"> </w:t>
      </w:r>
      <w:r>
        <w:t xml:space="preserve">Managers/Directors/Leadership (22.2%), with a smaller group of</w:t>
      </w:r>
      <w:r>
        <w:t xml:space="preserve"> </w:t>
      </w:r>
      <w:r>
        <w:t xml:space="preserve">postgraduate students (8.1%).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demographics-location"/>
          <w:p>
            <w:pPr>
              <w:pStyle w:val="Compact"/>
              <w:jc w:val="center"/>
            </w:pPr>
            <w:r>
              <w:drawing>
                <wp:inline>
                  <wp:extent cx="5334000" cy="166687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WP6.1_report_files/figure-docx/fig-demographics-location-1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66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Geographic location of respondents.</w:t>
            </w:r>
          </w:p>
          <w:bookmarkEnd w:id="30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emographics-career"/>
          <w:p>
            <w:pPr>
              <w:pStyle w:val="Compact"/>
              <w:jc w:val="center"/>
            </w:pPr>
            <w:r>
              <w:drawing>
                <wp:inline>
                  <wp:extent cx="5334000" cy="2333624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WP6.1_report_files/figure-docx/fig-demographics-career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Career stage of respondents.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demographics-research"/>
          <w:p>
            <w:pPr>
              <w:pStyle w:val="Compact"/>
              <w:jc w:val="center"/>
            </w:pPr>
            <w:r>
              <w:drawing>
                <wp:inline>
                  <wp:extent cx="5334000" cy="26670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WP6.1_report_files/figure-docx/fig-demographics-research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Research area of respondents.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demographics-position"/>
          <w:p>
            <w:pPr>
              <w:pStyle w:val="Compact"/>
              <w:jc w:val="center"/>
            </w:pPr>
            <w:r>
              <w:drawing>
                <wp:inline>
                  <wp:extent cx="5334000" cy="2000249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WP6.1_report_files/figure-docx/fig-demographics-position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4: Primary position of respondents.</w:t>
            </w:r>
          </w:p>
          <w:bookmarkEnd w:id="42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demographics-skills"/>
          <w:p>
            <w:pPr>
              <w:pStyle w:val="Compact"/>
              <w:jc w:val="center"/>
            </w:pPr>
            <w:r>
              <w:drawing>
                <wp:inline>
                  <wp:extent cx="5334000" cy="2000249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WP6.1_report_files/figure-docx/fig-demographics-skills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5: Self-rated digital skills of respondents across 10 skill areas (Q6).</w:t>
            </w:r>
          </w:p>
          <w:bookmarkEnd w:id="46"/>
        </w:tc>
      </w:tr>
    </w:tbl>
    <w:p>
      <w:r>
        <w:br w:type="page"/>
      </w:r>
    </w:p>
    <w:bookmarkEnd w:id="47"/>
    <w:bookmarkStart w:id="70" w:name="X364e772a94357d74b51434bc991178978c0d9ba"/>
    <w:p>
      <w:pPr>
        <w:pStyle w:val="Heading3"/>
      </w:pPr>
      <w:r>
        <w:t xml:space="preserve">4.2 Which tools are the community currently using? Which tools would they like to use more?</w:t>
      </w:r>
    </w:p>
    <w:p>
      <w:pPr>
        <w:pStyle w:val="FirstParagraph"/>
      </w:pPr>
      <w:r>
        <w:t xml:space="preserve">The plots below show the percentage of respondents that use each tool.</w:t>
      </w:r>
    </w:p>
    <w:p>
      <w:pPr>
        <w:pStyle w:val="BodyText"/>
      </w:pPr>
      <w:r>
        <w:t xml:space="preserve">Electronic Health Records (EHR) analytics, Computer Vision &amp; Medical</w:t>
      </w:r>
      <w:r>
        <w:t xml:space="preserve"> </w:t>
      </w:r>
      <w:r>
        <w:t xml:space="preserve">Imaging Analysis, and NLP models (BERT, bioBERT, etc) were all tools</w:t>
      </w:r>
      <w:r>
        <w:t xml:space="preserve"> </w:t>
      </w:r>
      <w:r>
        <w:t xml:space="preserve">where more than 40% of respondents stated they do not currently use, but</w:t>
      </w:r>
      <w:r>
        <w:t xml:space="preserve"> </w:t>
      </w:r>
      <w:r>
        <w:t xml:space="preserve">would like to use.</w:t>
      </w:r>
    </w:p>
    <w:p>
      <w:pPr>
        <w:pStyle w:val="BodyText"/>
      </w:pPr>
      <w:r>
        <w:t xml:space="preserve">Regression and Machine Learning had the highest combined score for</w:t>
      </w:r>
      <w:r>
        <w:t xml:space="preserve"> </w:t>
      </w:r>
      <w:r>
        <w:rPr>
          <w:i/>
          <w:iCs/>
        </w:rPr>
        <w:t xml:space="preserve">currently use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would like to use</w:t>
      </w:r>
      <w:r>
        <w:t xml:space="preserve"> </w:t>
      </w:r>
      <w:r>
        <w:t xml:space="preserve">(97.6% and 90.2% respectively).</w:t>
      </w:r>
    </w:p>
    <w:bookmarkStart w:id="52" w:name="X6f236f41ec132034dbcbcc41ddf7719e8181c45"/>
    <w:p>
      <w:pPr>
        <w:pStyle w:val="Heading4"/>
      </w:pPr>
      <w:r>
        <w:t xml:space="preserve">4.2.1 Programming Languages, IDEs &amp; Data Science Platforms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q24-stacked"/>
          <w:p>
            <w:pPr>
              <w:pStyle w:val="Compact"/>
              <w:jc w:val="center"/>
            </w:pPr>
            <w:r>
              <w:drawing>
                <wp:inline>
                  <wp:extent cx="5334000" cy="53340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WP6.1_report_files/figure-docx/fig-q24-stacked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3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6: Current usage: programming languages, IDEs, and data science platforms (Q24).</w:t>
            </w:r>
          </w:p>
          <w:bookmarkEnd w:id="51"/>
        </w:tc>
      </w:tr>
    </w:tbl>
    <w:p>
      <w:r>
        <w:br w:type="page"/>
      </w:r>
    </w:p>
    <w:bookmarkEnd w:id="52"/>
    <w:bookmarkStart w:id="57" w:name="statistical-and-machine-learning-methods"/>
    <w:p>
      <w:pPr>
        <w:pStyle w:val="Heading4"/>
      </w:pPr>
      <w:r>
        <w:t xml:space="preserve">4.2.2 Statistical and Machine Learning Methods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q27-stacked"/>
          <w:p>
            <w:pPr>
              <w:pStyle w:val="Compact"/>
              <w:jc w:val="center"/>
            </w:pPr>
            <w:r>
              <w:drawing>
                <wp:inline>
                  <wp:extent cx="5334000" cy="6667499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WP6.1_report_files/figure-docx/fig-q27-stacked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6674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7: Current usage: Analytical Methods &amp; Tools (Q27).</w:t>
            </w:r>
          </w:p>
          <w:bookmarkEnd w:id="56"/>
        </w:tc>
      </w:tr>
    </w:tbl>
    <w:p>
      <w:r>
        <w:br w:type="page"/>
      </w:r>
    </w:p>
    <w:bookmarkEnd w:id="57"/>
    <w:bookmarkStart w:id="62" w:name="domain-specific-health-analytics-tools"/>
    <w:p>
      <w:pPr>
        <w:pStyle w:val="Heading4"/>
      </w:pPr>
      <w:r>
        <w:t xml:space="preserve">4.2.3 Domain-Specific Health Analytics Tools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q30-stacked"/>
          <w:p>
            <w:pPr>
              <w:pStyle w:val="Compact"/>
              <w:jc w:val="center"/>
            </w:pPr>
            <w:r>
              <w:drawing>
                <wp:inline>
                  <wp:extent cx="5334000" cy="3333749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WP6.1_report_files/figure-docx/fig-q30-stacked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8: Current usage: domain-specific health analytics tools (Q30).</w:t>
            </w:r>
          </w:p>
          <w:bookmarkEnd w:id="61"/>
        </w:tc>
      </w:tr>
    </w:tbl>
    <w:bookmarkEnd w:id="62"/>
    <w:bookmarkStart w:id="67" w:name="ai-and-large-language-model-tools"/>
    <w:p>
      <w:pPr>
        <w:pStyle w:val="Heading4"/>
      </w:pPr>
      <w:r>
        <w:t xml:space="preserve">4.2.4 AI and Large Language Model Tools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q33-stacked"/>
          <w:p>
            <w:pPr>
              <w:pStyle w:val="Compact"/>
              <w:jc w:val="center"/>
            </w:pPr>
            <w:r>
              <w:drawing>
                <wp:inline>
                  <wp:extent cx="5334000" cy="3333749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WP6.1_report_files/figure-docx/fig-q33-stacked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9: Current usage: AI and LLM tools (Q33).</w:t>
            </w:r>
          </w:p>
          <w:bookmarkEnd w:id="66"/>
        </w:tc>
      </w:tr>
    </w:tbl>
    <w:p>
      <w:r>
        <w:br w:type="page"/>
      </w:r>
    </w:p>
    <w:bookmarkEnd w:id="67"/>
    <w:bookmarkStart w:id="69" w:name="X0f99524e460d75c50e32295b7dc7e48c9335f5f"/>
    <w:p>
      <w:pPr>
        <w:pStyle w:val="Heading4"/>
      </w:pPr>
      <w:r>
        <w:t xml:space="preserve">4.2.5 Additional Tools Identified by Respondents</w:t>
      </w:r>
    </w:p>
    <w:p>
      <w:pPr>
        <w:pStyle w:val="FirstParagraph"/>
      </w:pPr>
      <w:r>
        <w:t xml:space="preserve">In addition to the 57 tools explicitly listed in the survey, respondents</w:t>
      </w:r>
      <w:r>
        <w:t xml:space="preserve"> </w:t>
      </w:r>
      <w:r>
        <w:t xml:space="preserve">identified further tools they use via open-text follow-up questions.</w:t>
      </w:r>
      <w:r>
        <w:t xml:space="preserve"> </w:t>
      </w:r>
      <w:r>
        <w:t xml:space="preserve">These are listed in</w:t>
      </w:r>
      <w:r>
        <w:t xml:space="preserve"> </w:t>
      </w:r>
      <w:hyperlink w:anchor="tbl-opentext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below.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tbl-opentext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Additional tools and methods identified via open-text responses.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autofit"/>
              <w:jc w:val="center"/>
              <w:tblW w:type="pct" w:w="5000"/>
              <w:tblLook w:firstRow="1" w:lastRow="0" w:firstColumn="0" w:lastColumn="0" w:noHBand="0" w:noVBand="1"/>
            </w:tblPr>
            <w:tr>
              <w:trPr>
                <w:trHeight w:val="360" w:hRule="auto"/>
                <w:tblHeader/>
              </w:trPr>
              header 1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2E4A6B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FFFFFF"/>
                    </w:rPr>
                    <w:t xml:space="preserve">Domain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2E4A6B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FFFFFF"/>
                    </w:rPr>
                    <w:t xml:space="preserve">Tool/Language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2E4A6B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FFFFFF"/>
                    </w:rPr>
                    <w:t xml:space="preserve">Times Mentioned</w:t>
                  </w:r>
                </w:p>
              </w:tc>
            </w:tr>
            <w:tr>
              <w:trPr>
                <w:trHeight w:val="360" w:hRule="auto"/>
              </w:trPr>
              body 1
              <w:tc>
                <w:tcPr>
                  <w:vMerge w:val="restart"/>
                  <w:tcBorders>
                    <w:bottom w:val="single" w:sz="6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000000"/>
                    </w:rPr>
                    <w:t xml:space="preserve">Programming tools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stata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5</w:t>
                  </w:r>
                </w:p>
              </w:tc>
            </w:tr>
            <w:tr>
              <w:trPr>
                <w:trHeight w:val="360" w:hRule="auto"/>
              </w:trPr>
              body 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antigravity (google)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360" w:hRule="auto"/>
              </w:trPr>
              body 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c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360" w:hRule="auto"/>
              </w:trPr>
              body 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cuda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360" w:hRule="auto"/>
              </w:trPr>
              body 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episerv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360" w:hRule="auto"/>
              </w:trPr>
              body 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fortran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360" w:hRule="auto"/>
              </w:trPr>
              body 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linux command line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360" w:hRule="auto"/>
              </w:trPr>
              body 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mplus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360" w:hRule="auto"/>
              </w:trPr>
              body 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ms office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360" w:hRule="auto"/>
              </w:trPr>
              body10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opendatafit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360" w:hRule="auto"/>
              </w:trPr>
              body11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positron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360" w:hRule="auto"/>
              </w:trPr>
              body12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000000"/>
                    </w:rPr>
                    <w:t xml:space="preserve">Statistical/ML methods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any graphical representation of results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360" w:hRule="auto"/>
              </w:trPr>
              body13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bayesian optimisation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360" w:hRule="auto"/>
              </w:trPr>
              body14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enformer etc)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360" w:hRule="auto"/>
              </w:trPr>
              body15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genome language models (e.g. alphagenome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360" w:hRule="auto"/>
              </w:trPr>
              body16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000000"/>
                    </w:rPr>
                    <w:t xml:space="preserve">Domain-specific tools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mass spectrometry data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360" w:hRule="auto"/>
              </w:trPr>
              body17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plate reader data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360" w:hRule="auto"/>
              </w:trPr>
              body18
              <w:tc>
                <w:tcPr>
                  <w:vMerge w:val="restart"/>
                  <w:tcBorders>
                    <w:bottom w:val="single" w:sz="12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000000"/>
                    </w:rPr>
                    <w:t xml:space="preserve">AI/LLM tools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google gemini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2</w:t>
                  </w:r>
                </w:p>
              </w:tc>
            </w:tr>
            <w:tr>
              <w:trPr>
                <w:trHeight w:val="360" w:hRule="auto"/>
              </w:trPr>
              body19
              <w:tc>
                <w:tcPr>
                  <w:vMerge/>
                  <w:tcBorders>
                    <w:bottom w:val="single" w:sz="6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gemini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360" w:hRule="auto"/>
              </w:trPr>
              body20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grok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360" w:hRule="auto"/>
              </w:trPr>
              body21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le chat (mistral)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360" w:hRule="auto"/>
              </w:trPr>
              body22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mistral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360" w:hRule="auto"/>
              </w:trPr>
              body23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nexa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360" w:hRule="auto"/>
              </w:trPr>
              body24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notebooklm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360" w:hRule="auto"/>
              </w:trPr>
              body25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ollama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360" w:hRule="auto"/>
              </w:trPr>
              body26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perplexity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360" w:hRule="auto"/>
              </w:trPr>
              body27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prism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360" w:hRule="auto"/>
              </w:trPr>
              body28
              <w:tc>
                <w:tcPr>
                  <w:vMerge/>
                  <w:tcBorders>
                    <w:bottom w:val="single" w:sz="12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12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research rabbit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360" w:hRule="auto"/>
              </w:trPr>
              footer 1
              <w:tc>
                <w:tcPr>
                  <w:gridSpan w:val="3"/>
                  <w:tcBorders>
                    <w:bottom w:val="none" w:sz="0" w:space="0" w:color="FFFFFF"/>
                    <w:top w:val="single" w:sz="12" w:space="0" w:color="666666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6"/>
                      <w:szCs w:val="16"/>
                      <w:color w:val="000000"/>
                    </w:rPr>
                    <w:t xml:space="preserve">Tools and languages extracted from open-text responses.</w:t>
                  </w:r>
                </w:p>
              </w:tc>
            </w:tr>
          </w:tbl>
          <w:bookmarkEnd w:id="68"/>
        </w:tc>
      </w:tr>
    </w:tbl>
    <w:p>
      <w:pPr>
        <w:pStyle w:val="BodyText"/>
      </w:pPr>
      <w:r>
        <w:t xml:space="preserve">See Work Package 5 for further discussion of tool demand.</w:t>
      </w:r>
    </w:p>
    <w:p>
      <w:pPr>
        <w:pStyle w:val="BodyText"/>
      </w:pPr>
      <w:r>
        <w:t xml:space="preserve">A substantial proportion of respondents (29%) indicated they did not</w:t>
      </w:r>
      <w:r>
        <w:t xml:space="preserve"> </w:t>
      </w:r>
      <w:r>
        <w:t xml:space="preserve">know enough about Sandbox Instances of LLMs to say whether they would</w:t>
      </w:r>
      <w:r>
        <w:t xml:space="preserve"> </w:t>
      </w:r>
      <w:r>
        <w:t xml:space="preserve">like to use the tool. This points to an awareness gap rather than a</w:t>
      </w:r>
      <w:r>
        <w:t xml:space="preserve"> </w:t>
      </w:r>
      <w:r>
        <w:t xml:space="preserve">demand gap: before training can be effective for some emerging tools,</w:t>
      </w:r>
      <w:r>
        <w:t xml:space="preserve"> </w:t>
      </w:r>
      <w:r>
        <w:t xml:space="preserve">researchers may first need to know the tool exists and what it offers.</w:t>
      </w:r>
    </w:p>
    <w:bookmarkEnd w:id="69"/>
    <w:bookmarkEnd w:id="70"/>
    <w:bookmarkStart w:id="91" w:name="current-skill-level-by-tool"/>
    <w:p>
      <w:pPr>
        <w:pStyle w:val="Heading3"/>
      </w:pPr>
      <w:r>
        <w:t xml:space="preserve">4.3 Current Skill Level by Tool</w:t>
      </w:r>
    </w:p>
    <w:p>
      <w:pPr>
        <w:pStyle w:val="FirstParagraph"/>
      </w:pPr>
      <w:r>
        <w:t xml:space="preserve">For each tool a respondent indicated they</w:t>
      </w:r>
      <w:r>
        <w:t xml:space="preserve"> </w:t>
      </w:r>
      <w:r>
        <w:rPr>
          <w:i/>
          <w:iCs/>
        </w:rPr>
        <w:t xml:space="preserve">currently use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would like</w:t>
      </w:r>
      <w:r>
        <w:rPr>
          <w:i/>
          <w:iCs/>
        </w:rPr>
        <w:t xml:space="preserve"> </w:t>
      </w:r>
      <w:r>
        <w:rPr>
          <w:i/>
          <w:iCs/>
        </w:rPr>
        <w:t xml:space="preserve">to use</w:t>
      </w:r>
      <w:r>
        <w:t xml:space="preserve">, they were asked to rate their current skill level. The plots</w:t>
      </w:r>
      <w:r>
        <w:t xml:space="preserve"> </w:t>
      </w:r>
      <w:r>
        <w:t xml:space="preserve">below show the range of skill levels across respondents for each tool</w:t>
      </w:r>
      <w:r>
        <w:t xml:space="preserve"> </w:t>
      </w:r>
      <w:r>
        <w:t xml:space="preserve">group.</w:t>
      </w:r>
    </w:p>
    <w:p>
      <w:pPr>
        <w:pStyle w:val="BodyText"/>
      </w:pPr>
      <w:r>
        <w:t xml:space="preserve">Among respondents who answered the skill question NLP models (85.0%) and</w:t>
      </w:r>
      <w:r>
        <w:t xml:space="preserve"> </w:t>
      </w:r>
      <w:r>
        <w:t xml:space="preserve">Community engagement methods (84.4%) had the largest skill gaps, with</w:t>
      </w:r>
      <w:r>
        <w:t xml:space="preserve"> </w:t>
      </w:r>
      <w:r>
        <w:t xml:space="preserve">most respondents who answered rating themselves None or Beginner.</w:t>
      </w:r>
      <w:r>
        <w:t xml:space="preserve"> </w:t>
      </w:r>
      <w:r>
        <w:t xml:space="preserve">Electronic Health Records (EHR) analytics, Causal Analysis, SQL &amp;</w:t>
      </w:r>
      <w:r>
        <w:t xml:space="preserve"> </w:t>
      </w:r>
      <w:r>
        <w:t xml:space="preserve">Database management, Clinical trial design and analysis, GitHub,</w:t>
      </w:r>
      <w:r>
        <w:t xml:space="preserve"> </w:t>
      </w:r>
      <w:r>
        <w:t xml:space="preserve">and Clustering or pattern recognition each had a more moderate, but</w:t>
      </w:r>
      <w:r>
        <w:t xml:space="preserve"> </w:t>
      </w:r>
      <w:r>
        <w:t xml:space="preserve">still substantial, skill gap of around 48% to 54%. By contrast, R and</w:t>
      </w:r>
      <w:r>
        <w:t xml:space="preserve"> </w:t>
      </w:r>
      <w:r>
        <w:t xml:space="preserve">Regression had the smallest skill gaps among the top 10 tools (32% and</w:t>
      </w:r>
      <w:r>
        <w:t xml:space="preserve"> </w:t>
      </w:r>
      <w:r>
        <w:t xml:space="preserve">33% respectively), indicating that most respondents interested in these</w:t>
      </w:r>
      <w:r>
        <w:t xml:space="preserve"> </w:t>
      </w:r>
      <w:r>
        <w:t xml:space="preserve">two tools already have some existing skill; their high ranking reflects</w:t>
      </w:r>
      <w:r>
        <w:t xml:space="preserve"> </w:t>
      </w:r>
      <w:r>
        <w:t xml:space="preserve">strong demand rather than a large skill gap.</w:t>
      </w:r>
    </w:p>
    <w:bookmarkStart w:id="75" w:name="X2534ea48635c138f4c3c24f9b81d4315c62443f"/>
    <w:p>
      <w:pPr>
        <w:pStyle w:val="Heading4"/>
      </w:pPr>
      <w:r>
        <w:t xml:space="preserve">4.3.1 Programming Languages, IDEs &amp; Data Science Platforms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q47-skill"/>
          <w:p>
            <w:pPr>
              <w:pStyle w:val="Compact"/>
              <w:jc w:val="center"/>
            </w:pPr>
            <w:r>
              <w:drawing>
                <wp:inline>
                  <wp:extent cx="5334000" cy="53340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WP6.1_report_files/figure-docx/fig-q47-skill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3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10: Self-rated current skill level: programming languages, IDEs, and data science platforms (Q47).</w:t>
            </w:r>
          </w:p>
          <w:bookmarkEnd w:id="74"/>
        </w:tc>
      </w:tr>
    </w:tbl>
    <w:bookmarkEnd w:id="75"/>
    <w:bookmarkStart w:id="80" w:name="X4ec776e1498caed35b61eb549c60ac0954dbcef"/>
    <w:p>
      <w:pPr>
        <w:pStyle w:val="Heading4"/>
      </w:pPr>
      <w:r>
        <w:t xml:space="preserve">4.3.2 Statistical and Machine Learning Methods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48-skill"/>
          <w:p>
            <w:pPr>
              <w:pStyle w:val="Compact"/>
              <w:jc w:val="center"/>
            </w:pPr>
            <w:r>
              <w:drawing>
                <wp:inline>
                  <wp:extent cx="5334000" cy="53340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WP6.1_report_files/figure-docx/fig-q48-skill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3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11: Self-rated current skill level: statistical and machine learning methods (Q48).</w:t>
            </w:r>
          </w:p>
          <w:bookmarkEnd w:id="79"/>
        </w:tc>
      </w:tr>
    </w:tbl>
    <w:bookmarkEnd w:id="80"/>
    <w:bookmarkStart w:id="85" w:name="domain-specific-health-analytics-tools-1"/>
    <w:p>
      <w:pPr>
        <w:pStyle w:val="Heading4"/>
      </w:pPr>
      <w:r>
        <w:t xml:space="preserve">4.3.3 Domain-Specific Health Analytics Tools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q49-skill"/>
          <w:p>
            <w:pPr>
              <w:pStyle w:val="Compact"/>
              <w:jc w:val="center"/>
            </w:pPr>
            <w:r>
              <w:drawing>
                <wp:inline>
                  <wp:extent cx="5334000" cy="26670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WP6.1_report_files/figure-docx/fig-q49-skill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12: Self-rated current skill level: domain-specific health analytics tools (Q49).</w:t>
            </w:r>
          </w:p>
          <w:bookmarkEnd w:id="84"/>
        </w:tc>
      </w:tr>
    </w:tbl>
    <w:bookmarkEnd w:id="85"/>
    <w:bookmarkStart w:id="90" w:name="ai-and-large-language-model-tools-1"/>
    <w:p>
      <w:pPr>
        <w:pStyle w:val="Heading4"/>
      </w:pPr>
      <w:r>
        <w:t xml:space="preserve">4.3.4 AI and Large Language Model Tools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q50-skill"/>
          <w:p>
            <w:pPr>
              <w:pStyle w:val="Compact"/>
              <w:jc w:val="center"/>
            </w:pPr>
            <w:r>
              <w:drawing>
                <wp:inline>
                  <wp:extent cx="5334000" cy="26670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WP6.1_report_files/figure-docx/fig-q50-skill-1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13: Self-rated current skill level: AI and LLM tools (Q50).</w:t>
            </w:r>
          </w:p>
          <w:bookmarkEnd w:id="89"/>
        </w:tc>
      </w:tr>
    </w:tbl>
    <w:p>
      <w:r>
        <w:br w:type="page"/>
      </w:r>
    </w:p>
    <w:bookmarkEnd w:id="90"/>
    <w:bookmarkEnd w:id="91"/>
    <w:bookmarkStart w:id="105" w:name="demand-for-training"/>
    <w:p>
      <w:pPr>
        <w:pStyle w:val="Heading3"/>
      </w:pPr>
      <w:r>
        <w:t xml:space="preserve">4.4 Demand for Training</w:t>
      </w:r>
    </w:p>
    <w:p>
      <w:pPr>
        <w:pStyle w:val="FirstParagraph"/>
      </w:pPr>
      <w:r>
        <w:t xml:space="preserve">The following plots show respondents’ priority for engaging in training</w:t>
      </w:r>
      <w:r>
        <w:t xml:space="preserve"> </w:t>
      </w:r>
      <w:r>
        <w:t xml:space="preserve">in the next 18 months for each tool, separated by tool domain. The top</w:t>
      </w:r>
      <w:r>
        <w:t xml:space="preserve"> </w:t>
      </w:r>
      <w:r>
        <w:t xml:space="preserve">10 tools by Training Demand Score (% high priority + % somewhat a</w:t>
      </w:r>
      <w:r>
        <w:t xml:space="preserve"> </w:t>
      </w:r>
      <w:r>
        <w:t xml:space="preserve">priority) are listed in</w:t>
      </w:r>
      <w:r>
        <w:t xml:space="preserve"> </w:t>
      </w:r>
      <w:hyperlink w:anchor="tbl-top-demand">
        <w:r>
          <w:rPr>
            <w:rStyle w:val="Hyperlink"/>
          </w:rPr>
          <w:t xml:space="preserve">Table 2</w:t>
        </w:r>
      </w:hyperlink>
      <w:r>
        <w:t xml:space="preserve">.</w:t>
      </w:r>
    </w:p>
    <w:p>
      <w:pPr>
        <w:pStyle w:val="BodyText"/>
      </w:pPr>
      <w:r>
        <w:drawing>
          <wp:inline>
            <wp:extent cx="5334000" cy="4000499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WP6.1_report_files/figure-docx/plots-training-demand-1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000499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WP6.1_report_files/figure-docx/plots-training-demand-2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000499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WP6.1_report_files/figure-docx/plots-training-demand-3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000499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WP6.1_report_files/figure-docx/plots-training-demand-4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top-demand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2: Top 10 tools by Training Demand Score.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autofit"/>
              <w:jc w:val="center"/>
              <w:tblW w:type="pct" w:w="5000"/>
              <w:tblLook w:firstRow="1" w:lastRow="0" w:firstColumn="0" w:lastColumn="0" w:noHBand="0" w:noVBand="1"/>
            </w:tblPr>
            <w:tr>
              <w:trPr>
                <w:trHeight w:val="360" w:hRule="auto"/>
                <w:tblHeader/>
              </w:trPr>
              header 1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2E4A6B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FFFFFF"/>
                    </w:rPr>
                    <w:t xml:space="preserve">Tool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2E4A6B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FFFFFF"/>
                    </w:rPr>
                    <w:t xml:space="preserve">Training Demand Score</w:t>
                  </w:r>
                </w:p>
              </w:tc>
            </w:tr>
            <w:tr>
              <w:trPr>
                <w:trHeight w:val="360" w:hRule="auto"/>
              </w:trPr>
              body 1
              <w:tc>
                <w:tcPr>
                  <w:tcBorders>
                    <w:bottom w:val="single" w:sz="6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Electronic Health Records (EHR) analytics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  <w:t xml:space="preserve">0.46</w:t>
                  </w:r>
                </w:p>
              </w:tc>
            </w:tr>
            <w:tr>
              <w:trPr>
                <w:trHeight w:val="360" w:hRule="auto"/>
              </w:trPr>
              body 2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R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  <w:t xml:space="preserve">0.38</w:t>
                  </w:r>
                </w:p>
              </w:tc>
            </w:tr>
            <w:tr>
              <w:trPr>
                <w:trHeight w:val="360" w:hRule="auto"/>
              </w:trPr>
              body 3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Clinical trial design and analysis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  <w:t xml:space="preserve">0.34</w:t>
                  </w:r>
                </w:p>
              </w:tc>
            </w:tr>
            <w:tr>
              <w:trPr>
                <w:trHeight w:val="360" w:hRule="auto"/>
              </w:trPr>
              body 4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SQL &amp; Database management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  <w:t xml:space="preserve">0.34</w:t>
                  </w:r>
                </w:p>
              </w:tc>
            </w:tr>
            <w:tr>
              <w:trPr>
                <w:trHeight w:val="360" w:hRule="auto"/>
              </w:trPr>
              body 5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Causal Analysis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  <w:t xml:space="preserve">0.33</w:t>
                  </w:r>
                </w:p>
              </w:tc>
            </w:tr>
            <w:tr>
              <w:trPr>
                <w:trHeight w:val="360" w:hRule="auto"/>
              </w:trPr>
              body 6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Community engagement methods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  <w:t xml:space="preserve">0.32</w:t>
                  </w:r>
                </w:p>
              </w:tc>
            </w:tr>
            <w:tr>
              <w:trPr>
                <w:trHeight w:val="360" w:hRule="auto"/>
              </w:trPr>
              body 7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GitHub (free)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  <w:t xml:space="preserve">0.31</w:t>
                  </w:r>
                </w:p>
              </w:tc>
            </w:tr>
            <w:tr>
              <w:trPr>
                <w:trHeight w:val="360" w:hRule="auto"/>
              </w:trPr>
              body 8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Regression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  <w:t xml:space="preserve">0.30</w:t>
                  </w:r>
                </w:p>
              </w:tc>
            </w:tr>
            <w:tr>
              <w:trPr>
                <w:trHeight w:val="360" w:hRule="auto"/>
              </w:trPr>
              body 9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NLP models(BERT, bioBERT, etc)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  <w:t xml:space="preserve">0.30</w:t>
                  </w:r>
                </w:p>
              </w:tc>
            </w:tr>
            <w:tr>
              <w:trPr>
                <w:trHeight w:val="360" w:hRule="auto"/>
              </w:trPr>
              body10
              <w:tc>
                <w:tcPr>
                  <w:tcBorders>
                    <w:bottom w:val="single" w:sz="12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Model interpretability/explainability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  <w:t xml:space="preserve">0.30</w:t>
                  </w:r>
                </w:p>
              </w:tc>
            </w:tr>
          </w:tbl>
          <w:bookmarkEnd w:id="104"/>
        </w:tc>
      </w:tr>
    </w:tbl>
    <w:p>
      <w:r>
        <w:br w:type="page"/>
      </w:r>
    </w:p>
    <w:bookmarkEnd w:id="105"/>
    <w:bookmarkStart w:id="107" w:name="Xf07b7166917b6e7b08678676e333c5fd9603a43"/>
    <w:p>
      <w:pPr>
        <w:pStyle w:val="Heading3"/>
      </w:pPr>
      <w:r>
        <w:t xml:space="preserve">4.5 Ranking Tools by Training Demand, Training Importance &amp; Training Impact</w:t>
      </w:r>
    </w:p>
    <w:p>
      <w:pPr>
        <w:pStyle w:val="FirstParagraph"/>
      </w:pPr>
      <w:r>
        <w:t xml:space="preserve">The table below (</w:t>
      </w:r>
      <w:hyperlink w:anchor="tbl-demand-full">
        <w:r>
          <w:rPr>
            <w:rStyle w:val="Hyperlink"/>
          </w:rPr>
          <w:t xml:space="preserve">Table 3</w:t>
        </w:r>
      </w:hyperlink>
      <w:r>
        <w:t xml:space="preserve">) presents all 57 tools from the survey</w:t>
      </w:r>
      <w:r>
        <w:t xml:space="preserve"> </w:t>
      </w:r>
      <w:r>
        <w:t xml:space="preserve">compiled into one table, with scores for Training Demand, Training</w:t>
      </w:r>
      <w:r>
        <w:t xml:space="preserve"> </w:t>
      </w:r>
      <w:r>
        <w:t xml:space="preserve">Importance, Training Impact, and Total Score (demand + importance +</w:t>
      </w:r>
      <w:r>
        <w:t xml:space="preserve"> </w:t>
      </w:r>
      <w:r>
        <w:t xml:space="preserve">impact). Tools are ranked by total score. Blue cells indicate the top 10</w:t>
      </w:r>
      <w:r>
        <w:t xml:space="preserve"> </w:t>
      </w:r>
      <w:r>
        <w:t xml:space="preserve">tools for each score.</w:t>
      </w:r>
    </w:p>
    <w:p>
      <w:pPr>
        <w:pStyle w:val="BodyText"/>
      </w:pPr>
      <w:r>
        <w:t xml:space="preserve">Tables with the top 10 ranked tools for each score can be seen in Appendix 6.1.</w:t>
      </w:r>
    </w:p>
    <w:p>
      <w:pPr>
        <w:pStyle w:val="BodyText"/>
      </w:pPr>
      <w:r>
        <w:t xml:space="preserve">EHR analytics, R, Causal Analysis, Regression, and SQL &amp; Database</w:t>
      </w:r>
      <w:r>
        <w:t xml:space="preserve"> </w:t>
      </w:r>
      <w:r>
        <w:t xml:space="preserve">management were the top 5 ranked tools in terms of total score.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tbl-demand-full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3: All 57 tools ranked by Total Score.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autofit"/>
              <w:jc w:val="center"/>
              <w:tblW w:type="pct" w:w="5000"/>
              <w:tblLook w:firstRow="1" w:lastRow="0" w:firstColumn="0" w:lastColumn="0" w:noHBand="0" w:noVBand="1"/>
            </w:tblPr>
            <w:tr>
              <w:trPr>
                <w:trHeight w:val="360" w:hRule="auto"/>
                <w:tblHeader/>
              </w:trPr>
              header 1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2E4A6B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FFFFFF"/>
                    </w:rPr>
                    <w:t xml:space="preserve">Tool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2E4A6B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FFFFFF"/>
                    </w:rPr>
                    <w:t xml:space="preserve">Training Demand Score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2E4A6B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FFFFFF"/>
                    </w:rPr>
                    <w:t xml:space="preserve">Training Importance Score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2E4A6B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FFFFFF"/>
                    </w:rPr>
                    <w:t xml:space="preserve">Training Impact Score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2E4A6B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FFFFFF"/>
                    </w:rPr>
                    <w:t xml:space="preserve">Total Score</w:t>
                  </w:r>
                </w:p>
              </w:tc>
            </w:tr>
            <w:tr>
              <w:trPr>
                <w:trHeight w:val="360" w:hRule="auto"/>
              </w:trPr>
              body 1
              <w:tc>
                <w:tcPr>
                  <w:tcBorders>
                    <w:bottom w:val="single" w:sz="6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Electronic Health Records (EHR) analytics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0.46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0.34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0.31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1.12</w:t>
                  </w:r>
                </w:p>
              </w:tc>
            </w:tr>
            <w:tr>
              <w:trPr>
                <w:trHeight w:val="360" w:hRule="auto"/>
              </w:trPr>
              body 2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R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0.30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0.20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0.88</w:t>
                  </w:r>
                </w:p>
              </w:tc>
            </w:tr>
            <w:tr>
              <w:trPr>
                <w:trHeight w:val="360" w:hRule="auto"/>
              </w:trPr>
              body 3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Causal Analysis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0.33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0.27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0.27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0.87</w:t>
                  </w:r>
                </w:p>
              </w:tc>
            </w:tr>
            <w:tr>
              <w:trPr>
                <w:trHeight w:val="360" w:hRule="auto"/>
              </w:trPr>
              body 4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Regression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0.30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0.30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0.24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0.84</w:t>
                  </w:r>
                </w:p>
              </w:tc>
            </w:tr>
            <w:tr>
              <w:trPr>
                <w:trHeight w:val="360" w:hRule="auto"/>
              </w:trPr>
              body 5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SQL &amp; Database management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0.34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0.25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0.78</w:t>
                  </w:r>
                </w:p>
              </w:tc>
            </w:tr>
            <w:tr>
              <w:trPr>
                <w:trHeight w:val="360" w:hRule="auto"/>
              </w:trPr>
              body 6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Clinical trial design and analysis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0.34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0.23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0.76</w:t>
                  </w:r>
                </w:p>
              </w:tc>
            </w:tr>
            <w:tr>
              <w:trPr>
                <w:trHeight w:val="360" w:hRule="auto"/>
              </w:trPr>
              body 7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GitHub (free)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0.31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0.24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0.74</w:t>
                  </w:r>
                </w:p>
              </w:tc>
            </w:tr>
            <w:tr>
              <w:trPr>
                <w:trHeight w:val="360" w:hRule="auto"/>
              </w:trPr>
              body 8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Clustering or pattern recognition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0.29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0.23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0.21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0.73</w:t>
                  </w:r>
                </w:p>
              </w:tc>
            </w:tr>
            <w:tr>
              <w:trPr>
                <w:trHeight w:val="360" w:hRule="auto"/>
              </w:trPr>
              body 9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NLP models(BERT, bioBERT, etc)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0.30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0.20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0.68</w:t>
                  </w:r>
                </w:p>
              </w:tc>
            </w:tr>
            <w:tr>
              <w:trPr>
                <w:trHeight w:val="360" w:hRule="auto"/>
              </w:trPr>
              body10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Community engagement methods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0.32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0.64</w:t>
                  </w:r>
                </w:p>
              </w:tc>
            </w:tr>
            <w:tr>
              <w:trPr>
                <w:trHeight w:val="360" w:hRule="auto"/>
              </w:trPr>
              body11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Python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0.29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0.21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0.64</w:t>
                  </w:r>
                </w:p>
              </w:tc>
            </w:tr>
            <w:tr>
              <w:trPr>
                <w:trHeight w:val="360" w:hRule="auto"/>
              </w:trPr>
              body12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Model interpretability/explainability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0.30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0.62</w:t>
                  </w:r>
                </w:p>
              </w:tc>
            </w:tr>
            <w:tr>
              <w:trPr>
                <w:trHeight w:val="360" w:hRule="auto"/>
              </w:trPr>
              body13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Deep Learning (CNN, RNN)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0.26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0.61</w:t>
                  </w:r>
                </w:p>
              </w:tc>
            </w:tr>
            <w:tr>
              <w:trPr>
                <w:trHeight w:val="360" w:hRule="auto"/>
              </w:trPr>
              body14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Bayesian Statistics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0.23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0.59</w:t>
                  </w:r>
                </w:p>
              </w:tc>
            </w:tr>
            <w:tr>
              <w:trPr>
                <w:trHeight w:val="360" w:hRule="auto"/>
              </w:trPr>
              body15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Microsoft Copilot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0.27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0.55</w:t>
                  </w:r>
                </w:p>
              </w:tc>
            </w:tr>
            <w:tr>
              <w:trPr>
                <w:trHeight w:val="360" w:hRule="auto"/>
              </w:trPr>
              body16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GitHub Copilot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0.28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0.51</w:t>
                  </w:r>
                </w:p>
              </w:tc>
            </w:tr>
            <w:tr>
              <w:trPr>
                <w:trHeight w:val="360" w:hRule="auto"/>
              </w:trPr>
              body17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Machine Learning (unsuper./super.)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0.49</w:t>
                  </w:r>
                </w:p>
              </w:tc>
            </w:tr>
            <w:tr>
              <w:trPr>
                <w:trHeight w:val="360" w:hRule="auto"/>
              </w:trPr>
              body18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RStudio/Posit (free version)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0.21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0.48</w:t>
                  </w:r>
                </w:p>
              </w:tc>
            </w:tr>
            <w:tr>
              <w:trPr>
                <w:trHeight w:val="360" w:hRule="auto"/>
              </w:trPr>
              body19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AutoML &amp; Hyperparameter optimisation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0.26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0.47</w:t>
                  </w:r>
                </w:p>
              </w:tc>
            </w:tr>
            <w:tr>
              <w:trPr>
                <w:trHeight w:val="360" w:hRule="auto"/>
              </w:trPr>
              body20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Synthetic Data &amp; Privacy-Preserving ML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0.23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0.43</w:t>
                  </w:r>
                </w:p>
              </w:tc>
            </w:tr>
            <w:tr>
              <w:trPr>
                <w:trHeight w:val="360" w:hRule="auto"/>
              </w:trPr>
              body21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Decision Trees/Random Forests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0.42</w:t>
                  </w:r>
                </w:p>
              </w:tc>
            </w:tr>
            <w:tr>
              <w:trPr>
                <w:trHeight w:val="360" w:hRule="auto"/>
              </w:trPr>
              body22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Computer Vision &amp; Medical Imaging Analysis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0.21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0.42</w:t>
                  </w:r>
                </w:p>
              </w:tc>
            </w:tr>
            <w:tr>
              <w:trPr>
                <w:trHeight w:val="360" w:hRule="auto"/>
              </w:trPr>
              body23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Docker or Containers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0.37</w:t>
                  </w:r>
                </w:p>
              </w:tc>
            </w:tr>
            <w:tr>
              <w:trPr>
                <w:trHeight w:val="360" w:hRule="auto"/>
              </w:trPr>
              body24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PyTorch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0.21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0.35</w:t>
                  </w:r>
                </w:p>
              </w:tc>
            </w:tr>
            <w:tr>
              <w:trPr>
                <w:trHeight w:val="360" w:hRule="auto"/>
              </w:trPr>
              body25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Survival analysis/time to event ...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0.33</w:t>
                  </w:r>
                </w:p>
              </w:tc>
            </w:tr>
            <w:tr>
              <w:trPr>
                <w:trHeight w:val="360" w:hRule="auto"/>
              </w:trPr>
              body26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Simulation Models: Agent Based Models etc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0.20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0.31</w:t>
                  </w:r>
                </w:p>
              </w:tc>
            </w:tr>
            <w:tr>
              <w:trPr>
                <w:trHeight w:val="360" w:hRule="auto"/>
              </w:trPr>
              body27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Network analysis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0.30</w:t>
                  </w:r>
                </w:p>
              </w:tc>
            </w:tr>
            <w:tr>
              <w:trPr>
                <w:trHeight w:val="360" w:hRule="auto"/>
              </w:trPr>
              body28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TensorFlow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0.25</w:t>
                  </w:r>
                </w:p>
              </w:tc>
            </w:tr>
            <w:tr>
              <w:trPr>
                <w:trHeight w:val="360" w:hRule="auto"/>
              </w:trPr>
              body29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VS Code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0.23</w:t>
                  </w:r>
                </w:p>
              </w:tc>
            </w:tr>
            <w:tr>
              <w:trPr>
                <w:trHeight w:val="360" w:hRule="auto"/>
              </w:trPr>
              body30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Reinforcement Learning &amp; Adaptive inter.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0.23</w:t>
                  </w:r>
                </w:p>
              </w:tc>
            </w:tr>
            <w:tr>
              <w:trPr>
                <w:trHeight w:val="360" w:hRule="auto"/>
              </w:trPr>
              body31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SAS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0.21</w:t>
                  </w:r>
                </w:p>
              </w:tc>
            </w:tr>
            <w:tr>
              <w:trPr>
                <w:trHeight w:val="360" w:hRule="auto"/>
              </w:trPr>
              body32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Omics integration methods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0.21</w:t>
                  </w:r>
                </w:p>
              </w:tc>
            </w:tr>
            <w:tr>
              <w:trPr>
                <w:trHeight w:val="360" w:hRule="auto"/>
              </w:trPr>
              body33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Gradient boosted (XGBoost, LightGBM)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0.21</w:t>
                  </w:r>
                </w:p>
              </w:tc>
            </w:tr>
            <w:tr>
              <w:trPr>
                <w:trHeight w:val="360" w:hRule="auto"/>
              </w:trPr>
              body34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GitHub (paid)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0.21</w:t>
                  </w:r>
                </w:p>
              </w:tc>
            </w:tr>
            <w:tr>
              <w:trPr>
                <w:trHeight w:val="360" w:hRule="auto"/>
              </w:trPr>
              body35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Jupyter Notebooks or Hub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0.19</w:t>
                  </w:r>
                </w:p>
              </w:tc>
            </w:tr>
            <w:tr>
              <w:trPr>
                <w:trHeight w:val="360" w:hRule="auto"/>
              </w:trPr>
              body36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Julia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0.18</w:t>
                  </w:r>
                </w:p>
              </w:tc>
            </w:tr>
            <w:tr>
              <w:trPr>
                <w:trHeight w:val="360" w:hRule="auto"/>
              </w:trPr>
              body37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GitLab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0.17</w:t>
                  </w:r>
                </w:p>
              </w:tc>
            </w:tr>
            <w:tr>
              <w:trPr>
                <w:trHeight w:val="360" w:hRule="auto"/>
              </w:trPr>
              body38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RStudio Pro (paid version)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0.17</w:t>
                  </w:r>
                </w:p>
              </w:tc>
            </w:tr>
            <w:tr>
              <w:trPr>
                <w:trHeight w:val="360" w:hRule="auto"/>
              </w:trPr>
              body39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Singularity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0.17</w:t>
                  </w:r>
                </w:p>
              </w:tc>
            </w:tr>
            <w:tr>
              <w:trPr>
                <w:trHeight w:val="360" w:hRule="auto"/>
              </w:trPr>
              body40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Neurodesk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0.16</w:t>
                  </w:r>
                </w:p>
              </w:tc>
            </w:tr>
            <w:tr>
              <w:trPr>
                <w:trHeight w:val="360" w:hRule="auto"/>
              </w:trPr>
              body41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BioConductor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0.10</w:t>
                  </w:r>
                </w:p>
              </w:tc>
            </w:tr>
            <w:tr>
              <w:trPr>
                <w:trHeight w:val="360" w:hRule="auto"/>
              </w:trPr>
              body42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Nextflow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0.09</w:t>
                  </w:r>
                </w:p>
              </w:tc>
            </w:tr>
            <w:tr>
              <w:trPr>
                <w:trHeight w:val="360" w:hRule="auto"/>
              </w:trPr>
              body43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Low Code No Code Tools in ML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0.09</w:t>
                  </w:r>
                </w:p>
              </w:tc>
            </w:tr>
            <w:tr>
              <w:trPr>
                <w:trHeight w:val="360" w:hRule="auto"/>
              </w:trPr>
              body44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WGCNA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0.09</w:t>
                  </w:r>
                </w:p>
              </w:tc>
            </w:tr>
            <w:tr>
              <w:trPr>
                <w:trHeight w:val="360" w:hRule="auto"/>
              </w:trPr>
              body45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Galaxy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0.09</w:t>
                  </w:r>
                </w:p>
              </w:tc>
            </w:tr>
            <w:tr>
              <w:trPr>
                <w:trHeight w:val="360" w:hRule="auto"/>
              </w:trPr>
              body46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MatLab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0.07</w:t>
                  </w:r>
                </w:p>
              </w:tc>
            </w:tr>
            <w:tr>
              <w:trPr>
                <w:trHeight w:val="360" w:hRule="auto"/>
              </w:trPr>
              body47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Snakemake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0.06</w:t>
                  </w:r>
                </w:p>
              </w:tc>
            </w:tr>
            <w:tr>
              <w:trPr>
                <w:trHeight w:val="360" w:hRule="auto"/>
              </w:trPr>
              body48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Claude (paid)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360" w:hRule="auto"/>
              </w:trPr>
              body49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Claude (free)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360" w:hRule="auto"/>
              </w:trPr>
              body50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ChatGPT (paid)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360" w:hRule="auto"/>
              </w:trPr>
              body51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ChatGPT (free)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360" w:hRule="auto"/>
              </w:trPr>
              body52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Sandbox instances of LLMs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360" w:hRule="auto"/>
              </w:trPr>
              body53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Fed. learning models/distr. AI frameworks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360" w:hRule="auto"/>
              </w:trPr>
              body54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Graph neural nets &amp; knowledge graphs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360" w:hRule="auto"/>
              </w:trPr>
              body55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Power BI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360" w:hRule="auto"/>
              </w:trPr>
              body56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Tableau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360" w:hRule="auto"/>
              </w:trPr>
              body57
              <w:tc>
                <w:tcPr>
                  <w:tcBorders>
                    <w:bottom w:val="single" w:sz="12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Excel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0.00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/>
                  </w:r>
                </w:p>
              </w:tc>
            </w:tr>
          </w:tbl>
          <w:bookmarkEnd w:id="106"/>
        </w:tc>
      </w:tr>
    </w:tbl>
    <w:bookmarkEnd w:id="107"/>
    <w:bookmarkStart w:id="112" w:name="X1217352566795f8bccf1da80cce1b4b57547973"/>
    <w:p>
      <w:pPr>
        <w:pStyle w:val="Heading3"/>
      </w:pPr>
      <w:r>
        <w:t xml:space="preserve">4.6 Training Priority by Skill Level for top 10 tools</w:t>
      </w:r>
    </w:p>
    <w:p>
      <w:pPr>
        <w:pStyle w:val="FirstParagraph"/>
      </w:pPr>
      <w:hyperlink w:anchor="fig-priority-by-skill-top10">
        <w:r>
          <w:rPr>
            <w:rStyle w:val="Hyperlink"/>
          </w:rPr>
          <w:t xml:space="preserve">Figure 14</w:t>
        </w:r>
      </w:hyperlink>
      <w:r>
        <w:t xml:space="preserve"> </w:t>
      </w:r>
      <w:r>
        <w:t xml:space="preserve">shows training priority by skill level for</w:t>
      </w:r>
      <w:r>
        <w:t xml:space="preserve"> </w:t>
      </w:r>
      <w:r>
        <w:t xml:space="preserve">the top 10 tools (ranked by total score). This indicates whether</w:t>
      </w:r>
      <w:r>
        <w:t xml:space="preserve"> </w:t>
      </w:r>
      <w:r>
        <w:t xml:space="preserve">training demand for a given tool is coming mostly from those with no or</w:t>
      </w:r>
      <w:r>
        <w:t xml:space="preserve"> </w:t>
      </w:r>
      <w:r>
        <w:t xml:space="preserve">limited existing skill (suggesting introductory content is needed) or</w:t>
      </w:r>
      <w:r>
        <w:t xml:space="preserve"> </w:t>
      </w:r>
      <w:r>
        <w:t xml:space="preserve">from those who already have some skill but want to deepen it (suggesting</w:t>
      </w:r>
      <w:r>
        <w:t xml:space="preserve"> </w:t>
      </w:r>
      <w:r>
        <w:t xml:space="preserve">more advanced or specialised content is needed).</w:t>
      </w:r>
    </w:p>
    <w:p>
      <w:pPr>
        <w:pStyle w:val="BodyText"/>
      </w:pPr>
      <w:r>
        <w:t xml:space="preserve">For most of the top 10 tools, training demand is concentrated among</w:t>
      </w:r>
      <w:r>
        <w:t xml:space="preserve"> </w:t>
      </w:r>
      <w:r>
        <w:t xml:space="preserve">respondents with little or no existing skill. This is most pronounced</w:t>
      </w:r>
      <w:r>
        <w:t xml:space="preserve"> </w:t>
      </w:r>
      <w:r>
        <w:t xml:space="preserve">for Community engagement methods and NLP models, where 91.7% and 90.0%</w:t>
      </w:r>
      <w:r>
        <w:t xml:space="preserve"> </w:t>
      </w:r>
      <w:r>
        <w:t xml:space="preserve">of training demand respectively comes from respondents rating themselves</w:t>
      </w:r>
      <w:r>
        <w:t xml:space="preserve"> </w:t>
      </w:r>
      <w:r>
        <w:t xml:space="preserve">None or Beginner, indicating an almost entirely introductory need.</w:t>
      </w:r>
      <w:r>
        <w:t xml:space="preserve"> </w:t>
      </w:r>
      <w:r>
        <w:t xml:space="preserve">GitHub, Regression, and Clustering or pattern recognition follow</w:t>
      </w:r>
      <w:r>
        <w:t xml:space="preserve"> </w:t>
      </w:r>
      <w:r>
        <w:t xml:space="preserve">a similar pattern, with 73% to 75% of demand from None/Beginner</w:t>
      </w:r>
      <w:r>
        <w:t xml:space="preserve"> </w:t>
      </w:r>
      <w:r>
        <w:t xml:space="preserve">respondents. R is the clear exception: the majority of training demand</w:t>
      </w:r>
      <w:r>
        <w:t xml:space="preserve"> </w:t>
      </w:r>
      <w:r>
        <w:t xml:space="preserve">for R (53.9%) comes from respondents who already rate themselves</w:t>
      </w:r>
      <w:r>
        <w:t xml:space="preserve"> </w:t>
      </w:r>
      <w:r>
        <w:t xml:space="preserve">Intermediate or Advanced, indicating that training for R should</w:t>
      </w:r>
      <w:r>
        <w:t xml:space="preserve"> </w:t>
      </w:r>
      <w:r>
        <w:t xml:space="preserve">prioritise deepening existing skill rather than introducing</w:t>
      </w:r>
      <w:r>
        <w:t xml:space="preserve"> </w:t>
      </w:r>
      <w:r>
        <w:t xml:space="preserve">fundamentals. Electronic Health Records (EHR) analytics sits close to an</w:t>
      </w:r>
      <w:r>
        <w:t xml:space="preserve"> </w:t>
      </w:r>
      <w:r>
        <w:t xml:space="preserve">even split (52.9% None/Beginner, 47.1% Intermediate/Advanced),</w:t>
      </w:r>
      <w:r>
        <w:t xml:space="preserve"> </w:t>
      </w:r>
      <w:r>
        <w:t xml:space="preserve">suggesting training content spanning both introductory and more advanced</w:t>
      </w:r>
      <w:r>
        <w:t xml:space="preserve"> </w:t>
      </w:r>
      <w:r>
        <w:t xml:space="preserve">material would best meet demand for this tool.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priority-by-skill-top10"/>
          <w:p>
            <w:pPr>
              <w:pStyle w:val="Compact"/>
              <w:jc w:val="center"/>
            </w:pPr>
            <w:r>
              <w:drawing>
                <wp:inline>
                  <wp:extent cx="5334000" cy="53340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WP6.1_report_files/figure-docx/fig-priority-by-skill-top10-1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3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14: Training priority by skill level, for the top 10 tools (by total score).</w:t>
            </w:r>
          </w:p>
          <w:bookmarkEnd w:id="111"/>
        </w:tc>
      </w:tr>
    </w:tbl>
    <w:bookmarkEnd w:id="112"/>
    <w:bookmarkStart w:id="138" w:name="how-does-the-community-want-to-learn"/>
    <w:p>
      <w:pPr>
        <w:pStyle w:val="Heading3"/>
      </w:pPr>
      <w:r>
        <w:t xml:space="preserve">4.7 How Does the Community Want to Learn?</w:t>
      </w:r>
    </w:p>
    <w:p>
      <w:pPr>
        <w:pStyle w:val="FirstParagraph"/>
      </w:pPr>
      <w:r>
        <w:t xml:space="preserve">Learning preferences were diverse across respondents. While there were</w:t>
      </w:r>
      <w:r>
        <w:t xml:space="preserve"> </w:t>
      </w:r>
      <w:r>
        <w:t xml:space="preserve">some clear preferences for formats and time commitment required when it</w:t>
      </w:r>
      <w:r>
        <w:t xml:space="preserve"> </w:t>
      </w:r>
      <w:r>
        <w:t xml:space="preserve">comes to how health researchers prefer to learn, it is clear that the</w:t>
      </w:r>
      <w:r>
        <w:t xml:space="preserve"> </w:t>
      </w:r>
      <w:r>
        <w:t xml:space="preserve">audience is diverse, and there is no clear format or learning approach</w:t>
      </w:r>
      <w:r>
        <w:t xml:space="preserve"> </w:t>
      </w:r>
      <w:r>
        <w:t xml:space="preserve">that will suit all learners, with the exception of semester-long</w:t>
      </w:r>
      <w:r>
        <w:t xml:space="preserve"> </w:t>
      </w:r>
      <w:r>
        <w:t xml:space="preserve">courses, which showed the lowest preference. Unsurprisingly, time</w:t>
      </w:r>
      <w:r>
        <w:t xml:space="preserve"> </w:t>
      </w:r>
      <w:r>
        <w:t xml:space="preserve">availability is the primary limiting factor when engaging with training.</w:t>
      </w:r>
      <w:r>
        <w:t xml:space="preserve"> </w:t>
      </w:r>
      <w:r>
        <w:t xml:space="preserve">Motivation for engaging in training is predominantly around the</w:t>
      </w:r>
      <w:r>
        <w:t xml:space="preserve"> </w:t>
      </w:r>
      <w:r>
        <w:t xml:space="preserve">development of their own learning and the skills required to do their</w:t>
      </w:r>
      <w:r>
        <w:t xml:space="preserve"> </w:t>
      </w:r>
      <w:r>
        <w:t xml:space="preserve">current or future work. The results also show minimal importance given</w:t>
      </w:r>
      <w:r>
        <w:t xml:space="preserve"> </w:t>
      </w:r>
      <w:r>
        <w:t xml:space="preserve">to formal certification, CPD credits or access to compute as motivators.</w:t>
      </w:r>
    </w:p>
    <w:p>
      <w:pPr>
        <w:pStyle w:val="BodyText"/>
      </w:pPr>
      <w:r>
        <w:rPr>
          <w:u w:val="single"/>
        </w:rPr>
        <w:t xml:space="preserve">Learning Preferences</w:t>
      </w:r>
    </w:p>
    <w:p>
      <w:pPr>
        <w:pStyle w:val="BodyText"/>
      </w:pPr>
      <w:r>
        <w:t xml:space="preserve">Video tutorials, one-on-one mentoring and self-paced online courses were</w:t>
      </w:r>
      <w:r>
        <w:t xml:space="preserve"> </w:t>
      </w:r>
      <w:r>
        <w:t xml:space="preserve">the most preferred formats overall, while hands-on projects and</w:t>
      </w:r>
      <w:r>
        <w:t xml:space="preserve"> </w:t>
      </w:r>
      <w:r>
        <w:t xml:space="preserve">conference workshops were the least preferred (see Preferred Learning</w:t>
      </w:r>
      <w:r>
        <w:t xml:space="preserve"> </w:t>
      </w:r>
      <w:r>
        <w:t xml:space="preserve">Formats, below, for detail).</w:t>
      </w:r>
    </w:p>
    <w:p>
      <w:pPr>
        <w:pStyle w:val="BodyText"/>
      </w:pPr>
      <w:r>
        <w:rPr>
          <w:u w:val="single"/>
        </w:rPr>
        <w:t xml:space="preserve">Motivation, Time Commitments Preferences</w:t>
      </w:r>
    </w:p>
    <w:p>
      <w:pPr>
        <w:pStyle w:val="BodyText"/>
      </w:pPr>
      <w:r>
        <w:t xml:space="preserve">Respondents were motivated to participate in training across a broad</w:t>
      </w:r>
      <w:r>
        <w:t xml:space="preserve"> </w:t>
      </w:r>
      <w:r>
        <w:t xml:space="preserve">range of factors. The top 3 motivators for engaging in training were:</w:t>
      </w:r>
      <w:r>
        <w:t xml:space="preserve"> </w:t>
      </w:r>
      <w:r>
        <w:t xml:space="preserve">‘</w:t>
      </w:r>
      <w:r>
        <w:t xml:space="preserve">Develop new skills required for a specific research project</w:t>
      </w:r>
      <w:r>
        <w:t xml:space="preserve">’</w:t>
      </w:r>
      <w:r>
        <w:t xml:space="preserve"> </w:t>
      </w:r>
      <w:r>
        <w:t xml:space="preserve">(77%),</w:t>
      </w:r>
      <w:r>
        <w:t xml:space="preserve"> </w:t>
      </w:r>
      <w:r>
        <w:t xml:space="preserve">‘</w:t>
      </w:r>
      <w:r>
        <w:t xml:space="preserve">Develop additional skills (e.g. to apply for promotion, funding etc)</w:t>
      </w:r>
      <w:r>
        <w:t xml:space="preserve">’</w:t>
      </w:r>
      <w:r>
        <w:t xml:space="preserve"> </w:t>
      </w:r>
      <w:r>
        <w:t xml:space="preserve">(65%) and</w:t>
      </w:r>
      <w:r>
        <w:t xml:space="preserve"> </w:t>
      </w:r>
      <w:r>
        <w:t xml:space="preserve">‘</w:t>
      </w:r>
      <w:r>
        <w:t xml:space="preserve">Keep up with expectations of my current role</w:t>
      </w:r>
      <w:r>
        <w:t xml:space="preserve">’</w:t>
      </w:r>
      <w:r>
        <w:t xml:space="preserve"> </w:t>
      </w:r>
      <w:r>
        <w:t xml:space="preserve">(55%).</w:t>
      </w:r>
    </w:p>
    <w:p>
      <w:pPr>
        <w:pStyle w:val="BodyText"/>
      </w:pPr>
      <w:r>
        <w:t xml:space="preserve">In terms of time commitments, short courses (1-2 hours single topic) and</w:t>
      </w:r>
      <w:r>
        <w:t xml:space="preserve"> </w:t>
      </w:r>
      <w:r>
        <w:t xml:space="preserve">half-day workshops (3-4 hours) were the preferred time commitment (97%</w:t>
      </w:r>
      <w:r>
        <w:t xml:space="preserve"> </w:t>
      </w:r>
      <w:r>
        <w:t xml:space="preserve">and 94% respectively, somewhat and most preferred combined).</w:t>
      </w:r>
    </w:p>
    <w:p>
      <w:pPr>
        <w:pStyle w:val="BodyText"/>
      </w:pPr>
      <w:r>
        <w:rPr>
          <w:u w:val="single"/>
        </w:rPr>
        <w:t xml:space="preserve">Certification &amp; Barriers</w:t>
      </w:r>
    </w:p>
    <w:p>
      <w:pPr>
        <w:pStyle w:val="BodyText"/>
      </w:pPr>
      <w:r>
        <w:t xml:space="preserve">Formal certification and CPD credits are, at best, modest motivators for</w:t>
      </w:r>
      <w:r>
        <w:t xml:space="preserve"> </w:t>
      </w:r>
      <w:r>
        <w:t xml:space="preserve">training participation (see Importance of Training Incentives, below).</w:t>
      </w:r>
      <w:r>
        <w:t xml:space="preserve"> </w:t>
      </w:r>
      <w:r>
        <w:t xml:space="preserve">Respondents foremost are motivated by advancing their ability to execute</w:t>
      </w:r>
      <w:r>
        <w:t xml:space="preserve"> </w:t>
      </w:r>
      <w:r>
        <w:t xml:space="preserve">the analytics essential to their research.</w:t>
      </w:r>
    </w:p>
    <w:p>
      <w:pPr>
        <w:pStyle w:val="BodyText"/>
      </w:pPr>
      <w:r>
        <w:t xml:space="preserve">Time availability is the dominant barrier to training participation (see</w:t>
      </w:r>
      <w:r>
        <w:t xml:space="preserve"> </w:t>
      </w:r>
      <w:r>
        <w:t xml:space="preserve">Barriers to Training Participation, below), reinforcing the need for</w:t>
      </w:r>
      <w:r>
        <w:t xml:space="preserve"> </w:t>
      </w:r>
      <w:r>
        <w:t xml:space="preserve">flexible, asynchronous formats and underscoring the value of the</w:t>
      </w:r>
      <w:r>
        <w:t xml:space="preserve"> </w:t>
      </w:r>
      <w:r>
        <w:t xml:space="preserve">database and training discovery tool detailed in Work Package 6.4 and</w:t>
      </w:r>
      <w:r>
        <w:t xml:space="preserve"> </w:t>
      </w:r>
      <w:r>
        <w:t xml:space="preserve">6.5.</w:t>
      </w:r>
    </w:p>
    <w:p>
      <w:pPr>
        <w:pStyle w:val="BodyText"/>
      </w:pPr>
      <w:r>
        <w:t xml:space="preserve">Respondents highlighted that</w:t>
      </w:r>
      <w:r>
        <w:t xml:space="preserve"> </w:t>
      </w:r>
      <w:r>
        <w:t xml:space="preserve">“</w:t>
      </w:r>
      <w:r>
        <w:t xml:space="preserve">Courses of interest are not offered very</w:t>
      </w:r>
      <w:r>
        <w:t xml:space="preserve"> </w:t>
      </w:r>
      <w:r>
        <w:t xml:space="preserve">often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Application of content to active projects</w:t>
      </w:r>
      <w:r>
        <w:t xml:space="preserve">”</w:t>
      </w:r>
      <w:r>
        <w:t xml:space="preserve"> </w:t>
      </w:r>
      <w:r>
        <w:t xml:space="preserve">were also</w:t>
      </w:r>
      <w:r>
        <w:t xml:space="preserve"> </w:t>
      </w:r>
      <w:r>
        <w:t xml:space="preserve">barriers.</w:t>
      </w:r>
    </w:p>
    <w:bookmarkStart w:id="117" w:name="preferred-learning-formats"/>
    <w:p>
      <w:pPr>
        <w:pStyle w:val="Heading4"/>
      </w:pPr>
      <w:r>
        <w:t xml:space="preserve">4.7.1 Preferred Learning Formats</w:t>
      </w:r>
    </w:p>
    <w:p>
      <w:pPr>
        <w:pStyle w:val="FirstParagraph"/>
      </w:pPr>
      <w:r>
        <w:t xml:space="preserve">Respondents rated 12 learning formats on a three-point preference scale,</w:t>
      </w:r>
      <w:r>
        <w:t xml:space="preserve"> </w:t>
      </w:r>
      <w:r>
        <w:rPr>
          <w:i/>
          <w:iCs/>
        </w:rPr>
        <w:t xml:space="preserve">Most preferred</w:t>
      </w:r>
      <w:r>
        <w:t xml:space="preserve">,</w:t>
      </w:r>
      <w:r>
        <w:t xml:space="preserve"> </w:t>
      </w:r>
      <w:r>
        <w:rPr>
          <w:i/>
          <w:iCs/>
        </w:rPr>
        <w:t xml:space="preserve">Somewhat preferred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Not preferred at all</w:t>
      </w:r>
      <w:r>
        <w:t xml:space="preserve">.</w:t>
      </w:r>
      <w:r>
        <w:t xml:space="preserve"> </w:t>
      </w:r>
      <w:r>
        <w:t xml:space="preserve">One-on-one mentoring, self-paced online courses, and video tutorials</w:t>
      </w:r>
      <w:r>
        <w:t xml:space="preserve"> </w:t>
      </w:r>
      <w:r>
        <w:t xml:space="preserve">were the most preferred learning formats (</w:t>
      </w:r>
      <w:hyperlink w:anchor="fig-learning-approaches">
        <w:r>
          <w:rPr>
            <w:rStyle w:val="Hyperlink"/>
          </w:rPr>
          <w:t xml:space="preserve">Figure 15</w:t>
        </w:r>
      </w:hyperlink>
      <w:r>
        <w:t xml:space="preserve">).</w:t>
      </w:r>
      <w:r>
        <w:t xml:space="preserve"> </w:t>
      </w:r>
      <w:r>
        <w:t xml:space="preserve">Interestingly, hands-on projects and conference workshops were the least</w:t>
      </w:r>
      <w:r>
        <w:t xml:space="preserve"> </w:t>
      </w:r>
      <w:r>
        <w:t xml:space="preserve">preferred (52% and 39% indicated</w:t>
      </w:r>
      <w:r>
        <w:t xml:space="preserve"> </w:t>
      </w:r>
      <w:r>
        <w:rPr>
          <w:i/>
          <w:iCs/>
        </w:rPr>
        <w:t xml:space="preserve">not preferred at all</w:t>
      </w:r>
      <w:r>
        <w:t xml:space="preserve">, respectively).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learning-approaches"/>
          <w:p>
            <w:pPr>
              <w:pStyle w:val="Compact"/>
              <w:jc w:val="center"/>
            </w:pPr>
            <w:r>
              <w:drawing>
                <wp:inline>
                  <wp:extent cx="5334000" cy="4667249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WP6.1_report_files/figure-docx/fig-learning-approaches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672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15: Preferences across 12 learning delivery formats (Q54).</w:t>
            </w:r>
          </w:p>
          <w:bookmarkEnd w:id="116"/>
        </w:tc>
      </w:tr>
    </w:tbl>
    <w:p>
      <w:r>
        <w:br w:type="page"/>
      </w:r>
    </w:p>
    <w:bookmarkEnd w:id="117"/>
    <w:bookmarkStart w:id="122" w:name="preferred-time-commitment"/>
    <w:p>
      <w:pPr>
        <w:pStyle w:val="Heading4"/>
      </w:pPr>
      <w:r>
        <w:t xml:space="preserve">4.7.2 Preferred Time Commitment</w:t>
      </w:r>
    </w:p>
    <w:p>
      <w:pPr>
        <w:pStyle w:val="FirstParagraph"/>
      </w:pPr>
      <w:r>
        <w:t xml:space="preserve">Respondents rated nine time commitment options. Short, flexible formats</w:t>
      </w:r>
      <w:r>
        <w:t xml:space="preserve"> </w:t>
      </w:r>
      <w:r>
        <w:t xml:space="preserve">are strongly preferred over intensive multi-day or semester-length</w:t>
      </w:r>
      <w:r>
        <w:t xml:space="preserve"> </w:t>
      </w:r>
      <w:r>
        <w:t xml:space="preserve">commitments. Respondents highlighted through survey open text questions</w:t>
      </w:r>
      <w:r>
        <w:t xml:space="preserve"> </w:t>
      </w:r>
      <w:r>
        <w:t xml:space="preserve">that preferred time commitment depends on the complexity of the content.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time-commit"/>
          <w:p>
            <w:pPr>
              <w:pStyle w:val="Compact"/>
              <w:jc w:val="center"/>
            </w:pPr>
            <w:r>
              <w:drawing>
                <wp:inline>
                  <wp:extent cx="5334000" cy="4667249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WP6.1_report_files/figure-docx/fig-time-commit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672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16: Preferences across nine time commitment formats.</w:t>
            </w:r>
          </w:p>
          <w:bookmarkEnd w:id="121"/>
        </w:tc>
      </w:tr>
    </w:tbl>
    <w:p>
      <w:r>
        <w:br w:type="page"/>
      </w:r>
    </w:p>
    <w:bookmarkEnd w:id="122"/>
    <w:bookmarkStart w:id="127" w:name="barriers-to-training-participation"/>
    <w:p>
      <w:pPr>
        <w:pStyle w:val="Heading4"/>
      </w:pPr>
      <w:r>
        <w:t xml:space="preserve">4.7.3 Barriers to Training Participation</w:t>
      </w:r>
    </w:p>
    <w:p>
      <w:pPr>
        <w:pStyle w:val="FirstParagraph"/>
      </w:pPr>
      <w:r>
        <w:t xml:space="preserve">Time availability is the dominant barrier to training participation,</w:t>
      </w:r>
      <w:r>
        <w:t xml:space="preserve"> </w:t>
      </w:r>
      <w:r>
        <w:t xml:space="preserve">ahead of all others, followed by cost/licensing and awareness of quality</w:t>
      </w:r>
      <w:r>
        <w:t xml:space="preserve"> </w:t>
      </w:r>
      <w:r>
        <w:t xml:space="preserve">training. This reinforces the need for flexible, asynchronous formats,</w:t>
      </w:r>
      <w:r>
        <w:t xml:space="preserve"> </w:t>
      </w:r>
      <w:r>
        <w:t xml:space="preserve">and indicates the importance of employer support. Awareness of quality</w:t>
      </w:r>
      <w:r>
        <w:t xml:space="preserve"> </w:t>
      </w:r>
      <w:r>
        <w:t xml:space="preserve">training also supports the case for the database and training discovery</w:t>
      </w:r>
      <w:r>
        <w:t xml:space="preserve"> </w:t>
      </w:r>
      <w:r>
        <w:t xml:space="preserve">tool detailed in Work Package 6.4 and 6.5.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barriers"/>
          <w:p>
            <w:pPr>
              <w:pStyle w:val="Compact"/>
              <w:jc w:val="center"/>
            </w:pPr>
            <w:r>
              <w:drawing>
                <wp:inline>
                  <wp:extent cx="5334000" cy="3333749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WP6.1_report_files/figure-docx/fig-barriers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17: Barriers to training participation (multiple responses permitted).</w:t>
            </w:r>
          </w:p>
          <w:bookmarkEnd w:id="126"/>
        </w:tc>
      </w:tr>
    </w:tbl>
    <w:p>
      <w:pPr>
        <w:pStyle w:val="BodyText"/>
      </w:pPr>
      <w:r>
        <w:t xml:space="preserve">Respondents also highlighted the following additional barriers to</w:t>
      </w:r>
      <w:r>
        <w:t xml:space="preserve"> </w:t>
      </w:r>
      <w:r>
        <w:t xml:space="preserve">engaging in training:</w:t>
      </w:r>
    </w:p>
    <w:p>
      <w:pPr>
        <w:pStyle w:val="Compact"/>
        <w:numPr>
          <w:ilvl w:val="0"/>
          <w:numId w:val="1004"/>
        </w:numPr>
      </w:pPr>
      <w:r>
        <w:t xml:space="preserve">“</w:t>
      </w:r>
      <w:r>
        <w:t xml:space="preserve">Courses of interest are not offered very often.</w:t>
      </w:r>
      <w:r>
        <w:t xml:space="preserve">”</w:t>
      </w:r>
    </w:p>
    <w:p>
      <w:pPr>
        <w:pStyle w:val="Compact"/>
        <w:numPr>
          <w:ilvl w:val="0"/>
          <w:numId w:val="1004"/>
        </w:numPr>
      </w:pPr>
      <w:r>
        <w:t xml:space="preserve">“</w:t>
      </w:r>
      <w:r>
        <w:t xml:space="preserve">I train and teach and the quality of digital health training is very</w:t>
      </w:r>
      <w:r>
        <w:t xml:space="preserve"> </w:t>
      </w:r>
      <w:r>
        <w:t xml:space="preserve">poor and experts are not recognised.</w:t>
      </w:r>
      <w:r>
        <w:t xml:space="preserve">”</w:t>
      </w:r>
    </w:p>
    <w:p>
      <w:pPr>
        <w:pStyle w:val="Compact"/>
        <w:numPr>
          <w:ilvl w:val="0"/>
          <w:numId w:val="1004"/>
        </w:numPr>
      </w:pPr>
      <w:r>
        <w:t xml:space="preserve">“</w:t>
      </w:r>
      <w:r>
        <w:t xml:space="preserve">Application of content to active projects.</w:t>
      </w:r>
      <w:r>
        <w:t xml:space="preserve">”</w:t>
      </w:r>
    </w:p>
    <w:p>
      <w:r>
        <w:br w:type="page"/>
      </w:r>
    </w:p>
    <w:bookmarkEnd w:id="127"/>
    <w:bookmarkStart w:id="132" w:name="importance-of-training-incentives"/>
    <w:p>
      <w:pPr>
        <w:pStyle w:val="Heading4"/>
      </w:pPr>
      <w:r>
        <w:t xml:space="preserve">4.7.4 Importance of Training Incentives</w:t>
      </w:r>
    </w:p>
    <w:p>
      <w:pPr>
        <w:pStyle w:val="FirstParagraph"/>
      </w:pPr>
      <w:r>
        <w:t xml:space="preserve">Respondents rated four training incentives:</w:t>
      </w:r>
      <w:r>
        <w:t xml:space="preserve"> </w:t>
      </w:r>
      <w:r>
        <w:t xml:space="preserve">‘</w:t>
      </w:r>
      <w:r>
        <w:t xml:space="preserve">formal certification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CPD credits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priority access to compute</w:t>
      </w:r>
      <w:r>
        <w:t xml:space="preserve"> </w:t>
      </w:r>
      <w:r>
        <w:t xml:space="preserve">resources</w:t>
      </w:r>
      <w:r>
        <w:t xml:space="preserve">’</w:t>
      </w:r>
      <w:r>
        <w:t xml:space="preserve">, and</w:t>
      </w:r>
      <w:r>
        <w:t xml:space="preserve"> </w:t>
      </w:r>
      <w:r>
        <w:t xml:space="preserve">‘</w:t>
      </w:r>
      <w:r>
        <w:t xml:space="preserve">other</w:t>
      </w:r>
      <w:r>
        <w:t xml:space="preserve">’</w:t>
      </w:r>
      <w:r>
        <w:t xml:space="preserve">. All incentives were relatively equal, close to half of respondents</w:t>
      </w:r>
      <w:r>
        <w:t xml:space="preserve"> </w:t>
      </w:r>
      <w:r>
        <w:t xml:space="preserve">rated each</w:t>
      </w:r>
      <w:r>
        <w:t xml:space="preserve"> </w:t>
      </w:r>
      <w:r>
        <w:rPr>
          <w:i/>
          <w:iCs/>
        </w:rPr>
        <w:t xml:space="preserve">not a motivator</w:t>
      </w:r>
      <w:r>
        <w:t xml:space="preserve">, with only around one in five rating each</w:t>
      </w:r>
      <w:r>
        <w:t xml:space="preserve"> </w:t>
      </w:r>
      <w:r>
        <w:rPr>
          <w:i/>
          <w:iCs/>
        </w:rPr>
        <w:t xml:space="preserve">highly motivating</w:t>
      </w:r>
      <w:r>
        <w:t xml:space="preserve">. Incentives are not the primary driver of training</w:t>
      </w:r>
      <w:r>
        <w:t xml:space="preserve"> </w:t>
      </w:r>
      <w:r>
        <w:t xml:space="preserve">participation.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importance"/>
          <w:p>
            <w:pPr>
              <w:pStyle w:val="Compact"/>
              <w:jc w:val="center"/>
            </w:pPr>
            <w:r>
              <w:drawing>
                <wp:inline>
                  <wp:extent cx="5334000" cy="2667000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WP6.1_report_files/figure-docx/fig-importance-1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18: Rated importance of training incentives.</w:t>
            </w:r>
          </w:p>
          <w:bookmarkEnd w:id="131"/>
        </w:tc>
      </w:tr>
    </w:tbl>
    <w:p>
      <w:pPr>
        <w:pStyle w:val="BodyText"/>
      </w:pPr>
      <w:r>
        <w:t xml:space="preserve">Respondents listed the following additional training incentives:</w:t>
      </w:r>
    </w:p>
    <w:p>
      <w:pPr>
        <w:pStyle w:val="Compact"/>
        <w:numPr>
          <w:ilvl w:val="0"/>
          <w:numId w:val="1005"/>
        </w:numPr>
      </w:pPr>
      <w:r>
        <w:t xml:space="preserve">Project-specific learning</w:t>
      </w:r>
    </w:p>
    <w:p>
      <w:pPr>
        <w:pStyle w:val="Compact"/>
        <w:numPr>
          <w:ilvl w:val="0"/>
          <w:numId w:val="1005"/>
        </w:numPr>
      </w:pPr>
      <w:r>
        <w:t xml:space="preserve">Quality practical learning from real experts not just people who’ve</w:t>
      </w:r>
      <w:r>
        <w:t xml:space="preserve"> </w:t>
      </w:r>
      <w:r>
        <w:t xml:space="preserve">read some publications.</w:t>
      </w:r>
    </w:p>
    <w:p>
      <w:pPr>
        <w:pStyle w:val="Compact"/>
        <w:numPr>
          <w:ilvl w:val="0"/>
          <w:numId w:val="1005"/>
        </w:numPr>
      </w:pPr>
      <w:r>
        <w:t xml:space="preserve">if the topic is relevant, I will do it regardless of any other</w:t>
      </w:r>
      <w:r>
        <w:t xml:space="preserve"> </w:t>
      </w:r>
      <w:r>
        <w:t xml:space="preserve">factors.</w:t>
      </w:r>
    </w:p>
    <w:p>
      <w:pPr>
        <w:pStyle w:val="Compact"/>
        <w:numPr>
          <w:ilvl w:val="0"/>
          <w:numId w:val="1005"/>
        </w:numPr>
      </w:pPr>
      <w:r>
        <w:t xml:space="preserve">Support my team</w:t>
      </w:r>
    </w:p>
    <w:p>
      <w:pPr>
        <w:pStyle w:val="Compact"/>
        <w:numPr>
          <w:ilvl w:val="0"/>
          <w:numId w:val="1005"/>
        </w:numPr>
      </w:pPr>
      <w:r>
        <w:t xml:space="preserve">Quality and applicability to needs.</w:t>
      </w:r>
    </w:p>
    <w:p>
      <w:r>
        <w:br w:type="page"/>
      </w:r>
    </w:p>
    <w:bookmarkEnd w:id="132"/>
    <w:bookmarkStart w:id="137" w:name="motivations-for-training"/>
    <w:p>
      <w:pPr>
        <w:pStyle w:val="Heading4"/>
      </w:pPr>
      <w:r>
        <w:t xml:space="preserve">4.7.5 Motivations for Training</w:t>
      </w:r>
    </w:p>
    <w:p>
      <w:pPr>
        <w:pStyle w:val="FirstParagraph"/>
      </w:pPr>
      <w:r>
        <w:t xml:space="preserve">Respondents were asked to select the top 3 motivations for engaging in</w:t>
      </w:r>
      <w:r>
        <w:t xml:space="preserve"> </w:t>
      </w:r>
      <w:r>
        <w:t xml:space="preserve">future training.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motivation"/>
          <w:p>
            <w:pPr>
              <w:pStyle w:val="Compact"/>
              <w:jc w:val="center"/>
            </w:pPr>
            <w:r>
              <w:drawing>
                <wp:inline>
                  <wp:extent cx="5334000" cy="3333749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WP6.1_report_files/figure-docx/fig-motivation-1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19: Motivations for engaging in training (multiple responses permitted).</w:t>
            </w:r>
          </w:p>
          <w:bookmarkEnd w:id="136"/>
        </w:tc>
      </w:tr>
    </w:tbl>
    <w:p>
      <w:pPr>
        <w:pStyle w:val="BodyText"/>
      </w:pPr>
      <w:r>
        <w:t xml:space="preserve">The single</w:t>
      </w:r>
      <w:r>
        <w:t xml:space="preserve"> </w:t>
      </w:r>
      <w:r>
        <w:t xml:space="preserve">“</w:t>
      </w:r>
      <w:r>
        <w:t xml:space="preserve">Other</w:t>
      </w:r>
      <w:r>
        <w:t xml:space="preserve">”</w:t>
      </w:r>
      <w:r>
        <w:t xml:space="preserve"> </w:t>
      </w:r>
      <w:r>
        <w:t xml:space="preserve">response was:</w:t>
      </w:r>
      <w:r>
        <w:t xml:space="preserve"> </w:t>
      </w:r>
      <w:r>
        <w:t xml:space="preserve">“</w:t>
      </w:r>
      <w:r>
        <w:t xml:space="preserve">Support my team.</w:t>
      </w:r>
      <w:r>
        <w:t xml:space="preserve">”</w:t>
      </w:r>
    </w:p>
    <w:p>
      <w:r>
        <w:br w:type="page"/>
      </w:r>
    </w:p>
    <w:bookmarkEnd w:id="137"/>
    <w:bookmarkEnd w:id="138"/>
    <w:bookmarkEnd w:id="139"/>
    <w:bookmarkStart w:id="146" w:name="insights-recommendations"/>
    <w:p>
      <w:pPr>
        <w:pStyle w:val="Heading2"/>
      </w:pPr>
      <w:r>
        <w:t xml:space="preserve">5 Insights &amp; Recommendations</w:t>
      </w:r>
    </w:p>
    <w:bookmarkStart w:id="140" w:name="tool-training-priorities"/>
    <w:p>
      <w:pPr>
        <w:pStyle w:val="Heading4"/>
      </w:pPr>
      <w:r>
        <w:t xml:space="preserve">5.0.1 Tool Training Priorities</w:t>
      </w:r>
    </w:p>
    <w:p>
      <w:pPr>
        <w:pStyle w:val="FirstParagraph"/>
      </w:pPr>
      <w:r>
        <w:t xml:space="preserve">Electronic Health Records (EHR) analytics, R, Causal Analysis,</w:t>
      </w:r>
      <w:r>
        <w:t xml:space="preserve"> </w:t>
      </w:r>
      <w:r>
        <w:t xml:space="preserve">Regression, and SQL &amp; Database management were the top 5 ranked tools</w:t>
      </w:r>
      <w:r>
        <w:t xml:space="preserve"> </w:t>
      </w:r>
      <w:r>
        <w:t xml:space="preserve">when in terms of total score (Training Demand + Training Importance + Training Impact</w:t>
      </w:r>
      <w:r>
        <w:t xml:space="preserve"> </w:t>
      </w:r>
      <w:hyperlink w:anchor="tbl-demand-full">
        <w:r>
          <w:rPr>
            <w:rStyle w:val="Hyperlink"/>
          </w:rPr>
          <w:t xml:space="preserve">Table 3</w:t>
        </w:r>
      </w:hyperlink>
      <w:r>
        <w:t xml:space="preserve">). EHR analytics ranks first overall, and its</w:t>
      </w:r>
      <w:r>
        <w:t xml:space="preserve"> </w:t>
      </w:r>
      <w:r>
        <w:t xml:space="preserve">score is driven mainly by its Training Impact Score, the highest of any</w:t>
      </w:r>
      <w:r>
        <w:t xml:space="preserve"> </w:t>
      </w:r>
      <w:r>
        <w:t xml:space="preserve">tool surveyed. Since Training Impact combines tool demand with the size</w:t>
      </w:r>
      <w:r>
        <w:t xml:space="preserve"> </w:t>
      </w:r>
      <w:r>
        <w:t xml:space="preserve">of the existing skill gap, this indicates that EHR analytics is both an</w:t>
      </w:r>
      <w:r>
        <w:t xml:space="preserve"> </w:t>
      </w:r>
      <w:r>
        <w:t xml:space="preserve">area of strong interest and one where current skill levels lag well</w:t>
      </w:r>
      <w:r>
        <w:t xml:space="preserve"> </w:t>
      </w:r>
      <w:r>
        <w:t xml:space="preserve">behind that interest, making it a high-value target for the resource</w:t>
      </w:r>
      <w:r>
        <w:t xml:space="preserve"> </w:t>
      </w:r>
      <w:r>
        <w:t xml:space="preserve">hub’s first wave of training content.</w:t>
      </w:r>
    </w:p>
    <w:p>
      <w:pPr>
        <w:pStyle w:val="BodyText"/>
      </w:pPr>
      <w:r>
        <w:t xml:space="preserve">More broadly, the top 10 tools span a mix of categories:</w:t>
      </w:r>
      <w:r>
        <w:t xml:space="preserve"> </w:t>
      </w:r>
      <w:r>
        <w:t xml:space="preserve">general-purpose programming and analysis tools (R, SQL, GitHub, Causal</w:t>
      </w:r>
      <w:r>
        <w:t xml:space="preserve"> </w:t>
      </w:r>
      <w:r>
        <w:t xml:space="preserve">Analysis, Regression, Clustering or pattern recognition, NLP models),</w:t>
      </w:r>
      <w:r>
        <w:t xml:space="preserve"> </w:t>
      </w:r>
      <w:r>
        <w:t xml:space="preserve">and domain-specific health analytics tools (EHR analytics, Clinical</w:t>
      </w:r>
      <w:r>
        <w:t xml:space="preserve"> </w:t>
      </w:r>
      <w:r>
        <w:t xml:space="preserve">trial design and analysis, and Community engagement methods). This</w:t>
      </w:r>
      <w:r>
        <w:t xml:space="preserve"> </w:t>
      </w:r>
      <w:r>
        <w:t xml:space="preserve">suggests that training priorities should not be</w:t>
      </w:r>
      <w:r>
        <w:t xml:space="preserve"> </w:t>
      </w:r>
      <w:r>
        <w:t xml:space="preserve">limited to foundational data science skills alone; but there is significant</w:t>
      </w:r>
      <w:r>
        <w:t xml:space="preserve"> </w:t>
      </w:r>
      <w:r>
        <w:t xml:space="preserve">demand for health research specific tools and methods such as EHR analytics, clinical trial design,</w:t>
      </w:r>
      <w:r>
        <w:t xml:space="preserve"> </w:t>
      </w:r>
      <w:r>
        <w:t xml:space="preserve">and community engagement methods, show comparable or greater training</w:t>
      </w:r>
      <w:r>
        <w:t xml:space="preserve"> </w:t>
      </w:r>
      <w:r>
        <w:t xml:space="preserve">demand and impact.</w:t>
      </w:r>
    </w:p>
    <w:bookmarkEnd w:id="140"/>
    <w:bookmarkStart w:id="141" w:name="from-priorities-to-training-resources"/>
    <w:p>
      <w:pPr>
        <w:pStyle w:val="Heading4"/>
      </w:pPr>
      <w:r>
        <w:t xml:space="preserve">5.0.2 From Priorities to Training Resources</w:t>
      </w:r>
    </w:p>
    <w:p>
      <w:pPr>
        <w:pStyle w:val="FirstParagraph"/>
      </w:pPr>
      <w:r>
        <w:t xml:space="preserve">The tool list and rankings presented above provide the basis for Work</w:t>
      </w:r>
      <w:r>
        <w:t xml:space="preserve"> </w:t>
      </w:r>
      <w:r>
        <w:t xml:space="preserve">Package 6.2, which matches each of these training priorities against</w:t>
      </w:r>
      <w:r>
        <w:t xml:space="preserve"> </w:t>
      </w:r>
      <w:r>
        <w:t xml:space="preserve">training resources already available online. The recommended shortlist</w:t>
      </w:r>
      <w:r>
        <w:t xml:space="preserve"> </w:t>
      </w:r>
      <w:r>
        <w:t xml:space="preserve">for this matching process is given in</w:t>
      </w:r>
      <w:r>
        <w:t xml:space="preserve"> </w:t>
      </w:r>
      <w:hyperlink w:anchor="tbl-top-tools-shortlis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(see</w:t>
      </w:r>
      <w:r>
        <w:t xml:space="preserve"> </w:t>
      </w:r>
      <w:r>
        <w:rPr>
          <w:i/>
          <w:iCs/>
        </w:rPr>
        <w:t xml:space="preserve">Notable Anomalies</w:t>
      </w:r>
      <w:r>
        <w:t xml:space="preserve">, below), which corrects for a small number of tools</w:t>
      </w:r>
      <w:r>
        <w:t xml:space="preserve"> </w:t>
      </w:r>
      <w:r>
        <w:t xml:space="preserve">whose Total Score could not be calculated.</w:t>
      </w:r>
    </w:p>
    <w:bookmarkEnd w:id="141"/>
    <w:bookmarkStart w:id="142" w:name="X072ab47b2ed61a2861af36382c60acc9a471ee0"/>
    <w:p>
      <w:pPr>
        <w:pStyle w:val="Heading4"/>
      </w:pPr>
      <w:r>
        <w:t xml:space="preserve">5.0.3 Learning Format &amp; Time Commitment Implications</w:t>
      </w:r>
    </w:p>
    <w:p>
      <w:pPr>
        <w:pStyle w:val="FirstParagraph"/>
      </w:pPr>
      <w:r>
        <w:t xml:space="preserve">The community’s preferences point clearly toward short, flexible, and</w:t>
      </w:r>
      <w:r>
        <w:t xml:space="preserve"> </w:t>
      </w:r>
      <w:r>
        <w:t xml:space="preserve">personalised training delivery. One-on-one mentoring, self-paced online</w:t>
      </w:r>
      <w:r>
        <w:t xml:space="preserve"> </w:t>
      </w:r>
      <w:r>
        <w:t xml:space="preserve">courses, and video tutorials were consistently the most preferred</w:t>
      </w:r>
      <w:r>
        <w:t xml:space="preserve"> </w:t>
      </w:r>
      <w:r>
        <w:t xml:space="preserve">formats, while hands-on projects and conference workshops were the least</w:t>
      </w:r>
      <w:r>
        <w:t xml:space="preserve"> </w:t>
      </w:r>
      <w:r>
        <w:t xml:space="preserve">preferred. Similarly, short courses (1–2 hours) and half-day workshops</w:t>
      </w:r>
      <w:r>
        <w:t xml:space="preserve"> </w:t>
      </w:r>
      <w:r>
        <w:t xml:space="preserve">(3–4 hours) were strongly preferred time commitments, while</w:t>
      </w:r>
      <w:r>
        <w:t xml:space="preserve"> </w:t>
      </w:r>
      <w:r>
        <w:t xml:space="preserve">semester-long courses (10–15 weeks) were the least preferred of any</w:t>
      </w:r>
      <w:r>
        <w:t xml:space="preserve"> </w:t>
      </w:r>
      <w:r>
        <w:t xml:space="preserve">option offered.</w:t>
      </w:r>
    </w:p>
    <w:p>
      <w:pPr>
        <w:pStyle w:val="BodyText"/>
      </w:pPr>
      <w:r>
        <w:t xml:space="preserve">For the resource hub, this suggests that training content is likely to</w:t>
      </w:r>
      <w:r>
        <w:t xml:space="preserve"> </w:t>
      </w:r>
      <w:r>
        <w:t xml:space="preserve">have greater reach and impact if it is delivered in short, modular,</w:t>
      </w:r>
      <w:r>
        <w:t xml:space="preserve"> </w:t>
      </w:r>
      <w:r>
        <w:t xml:space="preserve">self-paced or mentored formats rather than as extended courses or</w:t>
      </w:r>
      <w:r>
        <w:t xml:space="preserve"> </w:t>
      </w:r>
      <w:r>
        <w:t xml:space="preserve">one-off conference-style sessions.</w:t>
      </w:r>
    </w:p>
    <w:bookmarkEnd w:id="142"/>
    <w:bookmarkStart w:id="144" w:name="notable-anomalies"/>
    <w:p>
      <w:pPr>
        <w:pStyle w:val="Heading4"/>
      </w:pPr>
      <w:r>
        <w:t xml:space="preserve">5.0.4 Notable Anomalies</w:t>
      </w:r>
    </w:p>
    <w:p>
      <w:pPr>
        <w:pStyle w:val="FirstParagraph"/>
      </w:pPr>
      <w:r>
        <w:t xml:space="preserve">Excel and a subset of AI/LLM tools returned NA values for Training</w:t>
      </w:r>
      <w:r>
        <w:t xml:space="preserve"> </w:t>
      </w:r>
      <w:r>
        <w:t xml:space="preserve">Importance Score, Training Impact Score, and Total Score. This is</w:t>
      </w:r>
      <w:r>
        <w:t xml:space="preserve"> </w:t>
      </w:r>
      <w:r>
        <w:t xml:space="preserve">because the survey’s skill level and training priority follow-up</w:t>
      </w:r>
      <w:r>
        <w:t xml:space="preserve"> </w:t>
      </w:r>
      <w:r>
        <w:t xml:space="preserve">questions (Q47–Q50) were inadvertently omitted in the skill and</w:t>
      </w:r>
      <w:r>
        <w:t xml:space="preserve"> </w:t>
      </w:r>
      <w:r>
        <w:t xml:space="preserve">training priority questions when the survey was constructed. This is</w:t>
      </w:r>
      <w:r>
        <w:t xml:space="preserve"> </w:t>
      </w:r>
      <w:r>
        <w:t xml:space="preserve">a survey design omission rather than a reflection of genuine absence of</w:t>
      </w:r>
      <w:r>
        <w:t xml:space="preserve"> </w:t>
      </w:r>
      <w:r>
        <w:t xml:space="preserve">training need.</w:t>
      </w:r>
    </w:p>
    <w:p>
      <w:pPr>
        <w:pStyle w:val="BodyText"/>
      </w:pPr>
      <w:r>
        <w:t xml:space="preserve">The full list of affected tools is as follows:</w:t>
      </w:r>
    </w:p>
    <w:p>
      <w:pPr>
        <w:pStyle w:val="BodyText"/>
      </w:pPr>
      <w:r>
        <w:rPr>
          <w:b/>
          <w:bCs/>
        </w:rPr>
        <w:t xml:space="preserve">Tools omitted from the skill and training priority follow-up</w:t>
      </w:r>
      <w:r>
        <w:rPr>
          <w:b/>
          <w:bCs/>
        </w:rPr>
        <w:t xml:space="preserve"> </w:t>
      </w:r>
      <w:r>
        <w:rPr>
          <w:b/>
          <w:bCs/>
        </w:rPr>
        <w:t xml:space="preserve">questions:</w:t>
      </w:r>
    </w:p>
    <w:p>
      <w:pPr>
        <w:pStyle w:val="BodyText"/>
      </w:pPr>
      <w:r>
        <w:rPr>
          <w:b/>
          <w:bCs/>
        </w:rPr>
        <w:t xml:space="preserve">From Q24 (Programming &amp; Environments), omitted from Q47:</w:t>
      </w:r>
    </w:p>
    <w:p>
      <w:pPr>
        <w:pStyle w:val="Compact"/>
        <w:numPr>
          <w:ilvl w:val="0"/>
          <w:numId w:val="1006"/>
        </w:numPr>
      </w:pPr>
      <w:r>
        <w:t xml:space="preserve">Power BI</w:t>
      </w:r>
    </w:p>
    <w:p>
      <w:pPr>
        <w:pStyle w:val="Compact"/>
        <w:numPr>
          <w:ilvl w:val="0"/>
          <w:numId w:val="1006"/>
        </w:numPr>
      </w:pPr>
      <w:r>
        <w:t xml:space="preserve">Tableau</w:t>
      </w:r>
    </w:p>
    <w:p>
      <w:pPr>
        <w:pStyle w:val="Compact"/>
        <w:numPr>
          <w:ilvl w:val="0"/>
          <w:numId w:val="1006"/>
        </w:numPr>
      </w:pPr>
      <w:r>
        <w:t xml:space="preserve">Excel</w:t>
      </w:r>
    </w:p>
    <w:p>
      <w:pPr>
        <w:pStyle w:val="FirstParagraph"/>
      </w:pPr>
      <w:r>
        <w:rPr>
          <w:b/>
          <w:bCs/>
        </w:rPr>
        <w:t xml:space="preserve">From Q27 (Analysis Methods), none omitted:</w:t>
      </w:r>
      <w:r>
        <w:t xml:space="preserve"> </w:t>
      </w:r>
      <w:r>
        <w:t xml:space="preserve">None omitted</w:t>
      </w:r>
    </w:p>
    <w:p>
      <w:pPr>
        <w:pStyle w:val="BodyText"/>
      </w:pPr>
      <w:r>
        <w:t xml:space="preserve">**From Q30 (Domain-Specific Tools):* None omitted</w:t>
      </w:r>
    </w:p>
    <w:p>
      <w:pPr>
        <w:pStyle w:val="BodyText"/>
      </w:pPr>
      <w:r>
        <w:rPr>
          <w:b/>
          <w:bCs/>
        </w:rPr>
        <w:t xml:space="preserve">From Q33 (AI / LLM Tools), omitted from Q50:</w:t>
      </w:r>
    </w:p>
    <w:p>
      <w:pPr>
        <w:pStyle w:val="Compact"/>
        <w:numPr>
          <w:ilvl w:val="0"/>
          <w:numId w:val="1007"/>
        </w:numPr>
      </w:pPr>
      <w:r>
        <w:t xml:space="preserve">Claude (paid)</w:t>
      </w:r>
    </w:p>
    <w:p>
      <w:pPr>
        <w:pStyle w:val="Compact"/>
        <w:numPr>
          <w:ilvl w:val="0"/>
          <w:numId w:val="1007"/>
        </w:numPr>
      </w:pPr>
      <w:r>
        <w:t xml:space="preserve">Claude (free)</w:t>
      </w:r>
    </w:p>
    <w:p>
      <w:pPr>
        <w:pStyle w:val="Compact"/>
        <w:numPr>
          <w:ilvl w:val="0"/>
          <w:numId w:val="1007"/>
        </w:numPr>
      </w:pPr>
      <w:r>
        <w:t xml:space="preserve">ChatGPT (paid)</w:t>
      </w:r>
    </w:p>
    <w:p>
      <w:pPr>
        <w:pStyle w:val="Compact"/>
        <w:numPr>
          <w:ilvl w:val="0"/>
          <w:numId w:val="1007"/>
        </w:numPr>
      </w:pPr>
      <w:r>
        <w:t xml:space="preserve">ChatGPT (free)</w:t>
      </w:r>
    </w:p>
    <w:p>
      <w:pPr>
        <w:pStyle w:val="Compact"/>
        <w:numPr>
          <w:ilvl w:val="0"/>
          <w:numId w:val="1007"/>
        </w:numPr>
      </w:pPr>
      <w:r>
        <w:t xml:space="preserve">Sandbox instances of LLMs</w:t>
      </w:r>
    </w:p>
    <w:p>
      <w:pPr>
        <w:pStyle w:val="FirstParagraph"/>
      </w:pPr>
      <w:r>
        <w:rPr>
          <w:b/>
          <w:bCs/>
        </w:rPr>
        <w:t xml:space="preserve">Q33 tools correctly included in Q50 (not affected):</w:t>
      </w:r>
    </w:p>
    <w:p>
      <w:pPr>
        <w:pStyle w:val="Compact"/>
        <w:numPr>
          <w:ilvl w:val="0"/>
          <w:numId w:val="1008"/>
        </w:numPr>
      </w:pPr>
      <w:r>
        <w:t xml:space="preserve">Microsoft Copilot</w:t>
      </w:r>
    </w:p>
    <w:p>
      <w:pPr>
        <w:pStyle w:val="Compact"/>
        <w:numPr>
          <w:ilvl w:val="0"/>
          <w:numId w:val="1008"/>
        </w:numPr>
      </w:pPr>
      <w:r>
        <w:t xml:space="preserve">GitHub Copilot</w:t>
      </w:r>
    </w:p>
    <w:p>
      <w:pPr>
        <w:pStyle w:val="FirstParagraph"/>
      </w:pPr>
      <w:r>
        <w:t xml:space="preserve">To account for this, the shortlist of tools carried forward to Work</w:t>
      </w:r>
      <w:r>
        <w:t xml:space="preserve"> </w:t>
      </w:r>
      <w:r>
        <w:t xml:space="preserve">Package 6.2 and 6.3 has been constructed as the union of the top 10</w:t>
      </w:r>
      <w:r>
        <w:t xml:space="preserve"> </w:t>
      </w:r>
      <w:r>
        <w:t xml:space="preserve">tools by Total Score and the top 10 tools by Training Demand Score</w:t>
      </w:r>
      <w:r>
        <w:t xml:space="preserve"> </w:t>
      </w:r>
      <w:r>
        <w:t xml:space="preserve">(</w:t>
      </w:r>
      <w:hyperlink w:anchor="tbl-top-tools-shortlist">
        <w:r>
          <w:rPr>
            <w:rStyle w:val="Hyperlink"/>
          </w:rPr>
          <w:t xml:space="preserve">Table 4</w:t>
        </w:r>
      </w:hyperlink>
      <w:r>
        <w:t xml:space="preserve">), with duplicates removed. This ensures that</w:t>
      </w:r>
      <w:r>
        <w:t xml:space="preserve"> </w:t>
      </w:r>
      <w:r>
        <w:t xml:space="preserve">tools with high demonstrated demand are not silently excluded from WP6.2</w:t>
      </w:r>
      <w:r>
        <w:t xml:space="preserve"> </w:t>
      </w:r>
      <w:r>
        <w:t xml:space="preserve">simply because they were erroneously dropped in the skills and training</w:t>
      </w:r>
      <w:r>
        <w:t xml:space="preserve"> </w:t>
      </w:r>
      <w:r>
        <w:t xml:space="preserve">priority questions.</w:t>
      </w:r>
    </w:p>
    <w:p>
      <w:pPr>
        <w:pStyle w:val="BodyText"/>
      </w:pPr>
      <w:hyperlink w:anchor="tbl-top-tools-shortlis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below is the recommended tool shortlist for</w:t>
      </w:r>
      <w:r>
        <w:t xml:space="preserve"> </w:t>
      </w:r>
      <w:r>
        <w:t xml:space="preserve">Work Package 6.2 - Database 2: tools shaded under Training Demand Score</w:t>
      </w:r>
      <w:r>
        <w:t xml:space="preserve"> </w:t>
      </w:r>
      <w:r>
        <w:t xml:space="preserve">were recovered via demand alone (i.e. their Total Score could not be</w:t>
      </w:r>
      <w:r>
        <w:t xml:space="preserve"> </w:t>
      </w:r>
      <w:r>
        <w:t xml:space="preserve">calculated for the reasons set out above), and are flagged here for</w:t>
      </w:r>
      <w:r>
        <w:t xml:space="preserve"> </w:t>
      </w:r>
      <w:r>
        <w:t xml:space="preserve">transparency.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top-tools-shortlist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4: Top tools shortlist: union of top 10 by Training Demand and top 10 by Total Score.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autofit"/>
              <w:jc w:val="center"/>
              <w:tblW w:type="pct" w:w="5000"/>
              <w:tblLook w:firstRow="1" w:lastRow="0" w:firstColumn="0" w:lastColumn="0" w:noHBand="0" w:noVBand="1"/>
            </w:tblPr>
            <w:tr>
              <w:trPr>
                <w:trHeight w:val="360" w:hRule="auto"/>
                <w:tblHeader/>
              </w:trPr>
              header 1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2E4A6B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FFFFFF"/>
                    </w:rPr>
                    <w:t xml:space="preserve">Tool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2E4A6B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FFFFFF"/>
                    </w:rPr>
                    <w:t xml:space="preserve">Training Demand Score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2E4A6B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FFFFFF"/>
                    </w:rPr>
                    <w:t xml:space="preserve">Training Importance Score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2E4A6B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FFFFFF"/>
                    </w:rPr>
                    <w:t xml:space="preserve">Training Impact Score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2E4A6B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FFFFFF"/>
                    </w:rPr>
                    <w:t xml:space="preserve">Total Score</w:t>
                  </w:r>
                </w:p>
              </w:tc>
            </w:tr>
            <w:tr>
              <w:trPr>
                <w:trHeight w:val="360" w:hRule="auto"/>
              </w:trPr>
              body 1
              <w:tc>
                <w:tcPr>
                  <w:tcBorders>
                    <w:bottom w:val="single" w:sz="6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Electronic Health Records (EHR) analytics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0.46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0.34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0.31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1.12</w:t>
                  </w:r>
                </w:p>
              </w:tc>
            </w:tr>
            <w:tr>
              <w:trPr>
                <w:trHeight w:val="360" w:hRule="auto"/>
              </w:trPr>
              body 2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R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0.38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0.30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0.20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0.88</w:t>
                  </w:r>
                </w:p>
              </w:tc>
            </w:tr>
            <w:tr>
              <w:trPr>
                <w:trHeight w:val="360" w:hRule="auto"/>
              </w:trPr>
              body 3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Causal Analysis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0.33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0.27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0.27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0.87</w:t>
                  </w:r>
                </w:p>
              </w:tc>
            </w:tr>
            <w:tr>
              <w:trPr>
                <w:trHeight w:val="360" w:hRule="auto"/>
              </w:trPr>
              body 4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Regression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0.30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0.30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0.24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0.84</w:t>
                  </w:r>
                </w:p>
              </w:tc>
            </w:tr>
            <w:tr>
              <w:trPr>
                <w:trHeight w:val="360" w:hRule="auto"/>
              </w:trPr>
              body 5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SQL &amp; Database management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0.34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0.25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0.78</w:t>
                  </w:r>
                </w:p>
              </w:tc>
            </w:tr>
            <w:tr>
              <w:trPr>
                <w:trHeight w:val="360" w:hRule="auto"/>
              </w:trPr>
              body 6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Clinical trial design and analysis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0.34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0.23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0.76</w:t>
                  </w:r>
                </w:p>
              </w:tc>
            </w:tr>
            <w:tr>
              <w:trPr>
                <w:trHeight w:val="360" w:hRule="auto"/>
              </w:trPr>
              body 7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GitHub (free)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0.31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0.24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0.74</w:t>
                  </w:r>
                </w:p>
              </w:tc>
            </w:tr>
            <w:tr>
              <w:trPr>
                <w:trHeight w:val="360" w:hRule="auto"/>
              </w:trPr>
              body 8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Clustering or pattern recognition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0.29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0.23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0.21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0.73</w:t>
                  </w:r>
                </w:p>
              </w:tc>
            </w:tr>
            <w:tr>
              <w:trPr>
                <w:trHeight w:val="360" w:hRule="auto"/>
              </w:trPr>
              body 9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NLP models(BERT, bioBERT, etc)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0.30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0.20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0.68</w:t>
                  </w:r>
                </w:p>
              </w:tc>
            </w:tr>
            <w:tr>
              <w:trPr>
                <w:trHeight w:val="360" w:hRule="auto"/>
              </w:trPr>
              body10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Community engagement methods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0.32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0.64</w:t>
                  </w:r>
                </w:p>
              </w:tc>
            </w:tr>
            <w:tr>
              <w:trPr>
                <w:trHeight w:val="360" w:hRule="auto"/>
              </w:trPr>
              body11
              <w:tc>
                <w:tcPr>
                  <w:tcBorders>
                    <w:bottom w:val="single" w:sz="12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Model interpretability/explainability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D6EAF8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0.30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0.19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0.13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0.62</w:t>
                  </w:r>
                </w:p>
              </w:tc>
            </w:tr>
          </w:tbl>
          <w:bookmarkEnd w:id="143"/>
        </w:tc>
      </w:tr>
    </w:tbl>
    <w:bookmarkEnd w:id="144"/>
    <w:bookmarkStart w:id="145" w:name="looking-forward"/>
    <w:p>
      <w:pPr>
        <w:pStyle w:val="Heading4"/>
      </w:pPr>
      <w:r>
        <w:t xml:space="preserve">5.0.5 Looking Forward</w:t>
      </w:r>
    </w:p>
    <w:p>
      <w:pPr>
        <w:pStyle w:val="FirstParagraph"/>
      </w:pPr>
      <w:r>
        <w:t xml:space="preserve">The list of 57 tools assessed in this survey does not capture every tool</w:t>
      </w:r>
      <w:r>
        <w:t xml:space="preserve"> </w:t>
      </w:r>
      <w:r>
        <w:t xml:space="preserve">relevant to the community. Open-text responses identified several</w:t>
      </w:r>
      <w:r>
        <w:t xml:space="preserve"> </w:t>
      </w:r>
      <w:r>
        <w:t xml:space="preserve">additional tools not captured; Stata was the most frequently mentioned</w:t>
      </w:r>
      <w:r>
        <w:t xml:space="preserve"> </w:t>
      </w:r>
      <w:r>
        <w:t xml:space="preserve">(5 mentions), and we acknowledge that it should have been included in</w:t>
      </w:r>
      <w:r>
        <w:t xml:space="preserve"> </w:t>
      </w:r>
      <w:r>
        <w:t xml:space="preserve">the initial survey tool list. For this reason it will also be carried</w:t>
      </w:r>
      <w:r>
        <w:t xml:space="preserve"> </w:t>
      </w:r>
      <w:r>
        <w:t xml:space="preserve">forward to Workpackage 6.2.</w:t>
      </w:r>
    </w:p>
    <w:p>
      <w:pPr>
        <w:pStyle w:val="BodyText"/>
      </w:pPr>
      <w:r>
        <w:t xml:space="preserve">The pace of change in AI/LLM tooling is a further consideration. Since</w:t>
      </w:r>
      <w:r>
        <w:t xml:space="preserve"> </w:t>
      </w:r>
      <w:r>
        <w:t xml:space="preserve">this survey was developed, the range of LLM-based tools available to</w:t>
      </w:r>
      <w:r>
        <w:t xml:space="preserve"> </w:t>
      </w:r>
      <w:r>
        <w:t xml:space="preserve">researchers has continued to grow at a rapid rate, and several newer</w:t>
      </w:r>
      <w:r>
        <w:t xml:space="preserve"> </w:t>
      </w:r>
      <w:r>
        <w:t xml:space="preserve">tools (e.g. Google Gemini, Perplexity, NotebookLM) were already being</w:t>
      </w:r>
      <w:r>
        <w:t xml:space="preserve"> </w:t>
      </w:r>
      <w:r>
        <w:t xml:space="preserve">mentioned by respondents.</w:t>
      </w:r>
    </w:p>
    <w:p>
      <w:r>
        <w:br w:type="page"/>
      </w:r>
    </w:p>
    <w:bookmarkEnd w:id="145"/>
    <w:bookmarkEnd w:id="146"/>
    <w:bookmarkStart w:id="147" w:name="conclusion"/>
    <w:p>
      <w:pPr>
        <w:pStyle w:val="Heading2"/>
      </w:pPr>
      <w:r>
        <w:t xml:space="preserve">6 Conclusion</w:t>
      </w:r>
    </w:p>
    <w:p>
      <w:pPr>
        <w:pStyle w:val="FirstParagraph"/>
      </w:pPr>
      <w:r>
        <w:t xml:space="preserve">This report has presented the findings of Work Package 6.1, which sought</w:t>
      </w:r>
      <w:r>
        <w:t xml:space="preserve"> </w:t>
      </w:r>
      <w:r>
        <w:t xml:space="preserve">to characterise the learning needs of the Australian health research</w:t>
      </w:r>
      <w:r>
        <w:t xml:space="preserve"> </w:t>
      </w:r>
      <w:r>
        <w:t xml:space="preserve">community in advanced analytics and AI tools. Drawing on survey</w:t>
      </w:r>
      <w:r>
        <w:t xml:space="preserve"> </w:t>
      </w:r>
      <w:r>
        <w:t xml:space="preserve">responses from 99 respondents across 57 tools and methods, the survey</w:t>
      </w:r>
      <w:r>
        <w:t xml:space="preserve"> </w:t>
      </w:r>
      <w:r>
        <w:t xml:space="preserve">found that training demand is diverse, with some interest present across</w:t>
      </w:r>
      <w:r>
        <w:t xml:space="preserve"> </w:t>
      </w:r>
      <w:r>
        <w:t xml:space="preserve">nearly every tool surveyed, but is most concentrated in Electronic</w:t>
      </w:r>
      <w:r>
        <w:t xml:space="preserve"> </w:t>
      </w:r>
      <w:r>
        <w:t xml:space="preserve">Health Records (EHR) analytics, R, Causal Analysis, Regression, and SQL</w:t>
      </w:r>
      <w:r>
        <w:t xml:space="preserve"> </w:t>
      </w:r>
      <w:r>
        <w:t xml:space="preserve">&amp; Database management. EHR analytics stands out in particular, ranking</w:t>
      </w:r>
      <w:r>
        <w:t xml:space="preserve"> </w:t>
      </w:r>
      <w:r>
        <w:t xml:space="preserve">first overall on the strength of both strong demand and a substantial</w:t>
      </w:r>
      <w:r>
        <w:t xml:space="preserve"> </w:t>
      </w:r>
      <w:r>
        <w:t xml:space="preserve">existing skill gap.</w:t>
      </w:r>
    </w:p>
    <w:p>
      <w:pPr>
        <w:pStyle w:val="BodyText"/>
      </w:pPr>
      <w:r>
        <w:t xml:space="preserve">The survey also found clear preferences in how the community wants to</w:t>
      </w:r>
      <w:r>
        <w:t xml:space="preserve"> </w:t>
      </w:r>
      <w:r>
        <w:t xml:space="preserve">learn: short, flexible, and personalised formats, such as one-on-one</w:t>
      </w:r>
      <w:r>
        <w:t xml:space="preserve"> </w:t>
      </w:r>
      <w:r>
        <w:t xml:space="preserve">mentoring, self-paced online courses, and short courses, were</w:t>
      </w:r>
      <w:r>
        <w:t xml:space="preserve"> </w:t>
      </w:r>
      <w:r>
        <w:t xml:space="preserve">consistently preferred over extended courses or conference-style</w:t>
      </w:r>
      <w:r>
        <w:t xml:space="preserve"> </w:t>
      </w:r>
      <w:r>
        <w:t xml:space="preserve">sessions, and time availability was the dominant barrier to</w:t>
      </w:r>
      <w:r>
        <w:t xml:space="preserve"> </w:t>
      </w:r>
      <w:r>
        <w:t xml:space="preserve">participation. Structured incentives such as certification and CPD</w:t>
      </w:r>
      <w:r>
        <w:t xml:space="preserve"> </w:t>
      </w:r>
      <w:r>
        <w:t xml:space="preserve">credits were found to play, at most, a modest role in motivating</w:t>
      </w:r>
      <w:r>
        <w:t xml:space="preserve"> </w:t>
      </w:r>
      <w:r>
        <w:t xml:space="preserve">training uptake, with most respondents instead motivated by the direct</w:t>
      </w:r>
      <w:r>
        <w:t xml:space="preserve"> </w:t>
      </w:r>
      <w:r>
        <w:t xml:space="preserve">relevance of training to their current or future work.</w:t>
      </w:r>
    </w:p>
    <w:p>
      <w:pPr>
        <w:pStyle w:val="BodyText"/>
      </w:pPr>
      <w:r>
        <w:t xml:space="preserve">Together, these findings provide a tool-by-tool ranking of training need</w:t>
      </w:r>
      <w:r>
        <w:t xml:space="preserve"> </w:t>
      </w:r>
      <w:r>
        <w:t xml:space="preserve">and a clear picture of the formats and conditions under which the</w:t>
      </w:r>
      <w:r>
        <w:t xml:space="preserve"> </w:t>
      </w:r>
      <w:r>
        <w:t xml:space="preserve">community is most likely to engage. The recommended tool shortlist for</w:t>
      </w:r>
      <w:r>
        <w:t xml:space="preserve"> </w:t>
      </w:r>
      <w:r>
        <w:t xml:space="preserve">Work Package 6.2 (</w:t>
      </w:r>
      <w:hyperlink w:anchor="tbl-top-tools-shortlist">
        <w:r>
          <w:rPr>
            <w:rStyle w:val="Hyperlink"/>
          </w:rPr>
          <w:t xml:space="preserve">Table 4</w:t>
        </w:r>
      </w:hyperlink>
      <w:r>
        <w:t xml:space="preserve">) reflects this ranking. This shortlist,</w:t>
      </w:r>
      <w:r>
        <w:t xml:space="preserve"> </w:t>
      </w:r>
      <w:r>
        <w:t xml:space="preserve">together with the community’s stated learning preferences, will directly</w:t>
      </w:r>
      <w:r>
        <w:t xml:space="preserve"> </w:t>
      </w:r>
      <w:r>
        <w:t xml:space="preserve">inform the design of the training resource search protocol in Work</w:t>
      </w:r>
      <w:r>
        <w:t xml:space="preserve"> </w:t>
      </w:r>
      <w:r>
        <w:t xml:space="preserve">Packages 6.2 and 6.3, and the course discovery prototypes in Work Package 6.4.</w:t>
      </w:r>
    </w:p>
    <w:p>
      <w:r>
        <w:br w:type="page"/>
      </w:r>
    </w:p>
    <w:bookmarkEnd w:id="147"/>
    <w:bookmarkStart w:id="178" w:name="sec-appendix1"/>
    <w:p>
      <w:pPr>
        <w:pStyle w:val="Heading2"/>
      </w:pPr>
      <w:r>
        <w:t xml:space="preserve">7 Appendix</w:t>
      </w:r>
    </w:p>
    <w:bookmarkStart w:id="151" w:name="Xbb4950be05c6d72ce1876936ea075ffd91955c9"/>
    <w:p>
      <w:pPr>
        <w:pStyle w:val="Heading3"/>
      </w:pPr>
      <w:r>
        <w:t xml:space="preserve">7.1 Top 10 tools for Demand, Importance &amp; Impact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top10-demand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5: Top 10 tools by Training Demand Score.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autofit"/>
              <w:jc w:val="center"/>
              <w:tblW w:type="pct" w:w="5000"/>
              <w:tblLook w:firstRow="1" w:lastRow="0" w:firstColumn="0" w:lastColumn="0" w:noHBand="0" w:noVBand="1"/>
            </w:tblPr>
            <w:tr>
              <w:trPr>
                <w:trHeight w:val="360" w:hRule="auto"/>
                <w:tblHeader/>
              </w:trPr>
              header 1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2E4A6B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FFFFFF"/>
                    </w:rPr>
                    <w:t xml:space="preserve">Tool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2E4A6B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FFFFFF"/>
                    </w:rPr>
                    <w:t xml:space="preserve">Training Demand Score</w:t>
                  </w:r>
                </w:p>
              </w:tc>
            </w:tr>
            <w:tr>
              <w:trPr>
                <w:trHeight w:val="360" w:hRule="auto"/>
              </w:trPr>
              body 1
              <w:tc>
                <w:tcPr>
                  <w:tcBorders>
                    <w:bottom w:val="single" w:sz="6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Electronic Health Records (EHR) analytics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  <w:t xml:space="preserve">0.46</w:t>
                  </w:r>
                </w:p>
              </w:tc>
            </w:tr>
            <w:tr>
              <w:trPr>
                <w:trHeight w:val="360" w:hRule="auto"/>
              </w:trPr>
              body 2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R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  <w:t xml:space="preserve">0.38</w:t>
                  </w:r>
                </w:p>
              </w:tc>
            </w:tr>
            <w:tr>
              <w:trPr>
                <w:trHeight w:val="360" w:hRule="auto"/>
              </w:trPr>
              body 3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Clinical trial design and analysis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  <w:t xml:space="preserve">0.34</w:t>
                  </w:r>
                </w:p>
              </w:tc>
            </w:tr>
            <w:tr>
              <w:trPr>
                <w:trHeight w:val="360" w:hRule="auto"/>
              </w:trPr>
              body 4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SQL &amp; Database management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  <w:t xml:space="preserve">0.34</w:t>
                  </w:r>
                </w:p>
              </w:tc>
            </w:tr>
            <w:tr>
              <w:trPr>
                <w:trHeight w:val="360" w:hRule="auto"/>
              </w:trPr>
              body 5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Causal Analysis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  <w:t xml:space="preserve">0.33</w:t>
                  </w:r>
                </w:p>
              </w:tc>
            </w:tr>
            <w:tr>
              <w:trPr>
                <w:trHeight w:val="360" w:hRule="auto"/>
              </w:trPr>
              body 6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Community engagement methods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  <w:t xml:space="preserve">0.32</w:t>
                  </w:r>
                </w:p>
              </w:tc>
            </w:tr>
            <w:tr>
              <w:trPr>
                <w:trHeight w:val="360" w:hRule="auto"/>
              </w:trPr>
              body 7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GitHub (free)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  <w:t xml:space="preserve">0.31</w:t>
                  </w:r>
                </w:p>
              </w:tc>
            </w:tr>
            <w:tr>
              <w:trPr>
                <w:trHeight w:val="360" w:hRule="auto"/>
              </w:trPr>
              body 8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Regression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  <w:t xml:space="preserve">0.30</w:t>
                  </w:r>
                </w:p>
              </w:tc>
            </w:tr>
            <w:tr>
              <w:trPr>
                <w:trHeight w:val="360" w:hRule="auto"/>
              </w:trPr>
              body 9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NLP models(BERT, bioBERT, etc)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  <w:t xml:space="preserve">0.30</w:t>
                  </w:r>
                </w:p>
              </w:tc>
            </w:tr>
            <w:tr>
              <w:trPr>
                <w:trHeight w:val="360" w:hRule="auto"/>
              </w:trPr>
              body10
              <w:tc>
                <w:tcPr>
                  <w:tcBorders>
                    <w:bottom w:val="single" w:sz="12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Model interpretability/explainability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  <w:t xml:space="preserve">0.30</w:t>
                  </w:r>
                </w:p>
              </w:tc>
            </w:tr>
          </w:tbl>
          <w:bookmarkEnd w:id="148"/>
        </w:tc>
      </w:tr>
    </w:tbl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9" w:name="tbl-top10-importance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6: Top 10 tools by Importance Score.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autofit"/>
              <w:jc w:val="center"/>
              <w:tblW w:type="pct" w:w="5000"/>
              <w:tblLook w:firstRow="1" w:lastRow="0" w:firstColumn="0" w:lastColumn="0" w:noHBand="0" w:noVBand="1"/>
            </w:tblPr>
            <w:tr>
              <w:trPr>
                <w:trHeight w:val="360" w:hRule="auto"/>
                <w:tblHeader/>
              </w:trPr>
              header 1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2E4A6B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FFFFFF"/>
                    </w:rPr>
                    <w:t xml:space="preserve">Tool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2E4A6B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FFFFFF"/>
                    </w:rPr>
                    <w:t xml:space="preserve">Importance Score</w:t>
                  </w:r>
                </w:p>
              </w:tc>
            </w:tr>
            <w:tr>
              <w:trPr>
                <w:trHeight w:val="360" w:hRule="auto"/>
              </w:trPr>
              body 1
              <w:tc>
                <w:tcPr>
                  <w:tcBorders>
                    <w:bottom w:val="single" w:sz="6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Electronic Health Records (EHR) analytics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  <w:t xml:space="preserve">0.34</w:t>
                  </w:r>
                </w:p>
              </w:tc>
            </w:tr>
            <w:tr>
              <w:trPr>
                <w:trHeight w:val="360" w:hRule="auto"/>
              </w:trPr>
              body 2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R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  <w:t xml:space="preserve">0.30</w:t>
                  </w:r>
                </w:p>
              </w:tc>
            </w:tr>
            <w:tr>
              <w:trPr>
                <w:trHeight w:val="360" w:hRule="auto"/>
              </w:trPr>
              body 3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Regression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  <w:t xml:space="preserve">0.30</w:t>
                  </w:r>
                </w:p>
              </w:tc>
            </w:tr>
            <w:tr>
              <w:trPr>
                <w:trHeight w:val="360" w:hRule="auto"/>
              </w:trPr>
              body 4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Causal Analysis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  <w:t xml:space="preserve">0.27</w:t>
                  </w:r>
                </w:p>
              </w:tc>
            </w:tr>
            <w:tr>
              <w:trPr>
                <w:trHeight w:val="360" w:hRule="auto"/>
              </w:trPr>
              body 5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SQL &amp; Database management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  <w:t xml:space="preserve">0.25</w:t>
                  </w:r>
                </w:p>
              </w:tc>
            </w:tr>
            <w:tr>
              <w:trPr>
                <w:trHeight w:val="360" w:hRule="auto"/>
              </w:trPr>
              body 6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GitHub (free)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  <w:t xml:space="preserve">0.24</w:t>
                  </w:r>
                </w:p>
              </w:tc>
            </w:tr>
            <w:tr>
              <w:trPr>
                <w:trHeight w:val="360" w:hRule="auto"/>
              </w:trPr>
              body 7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Clinical trial design and analysis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  <w:t xml:space="preserve">0.23</w:t>
                  </w:r>
                </w:p>
              </w:tc>
            </w:tr>
            <w:tr>
              <w:trPr>
                <w:trHeight w:val="360" w:hRule="auto"/>
              </w:trPr>
              body 8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Clustering or pattern recognition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  <w:t xml:space="preserve">0.23</w:t>
                  </w:r>
                </w:p>
              </w:tc>
            </w:tr>
            <w:tr>
              <w:trPr>
                <w:trHeight w:val="360" w:hRule="auto"/>
              </w:trPr>
              body 9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Python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  <w:t xml:space="preserve">0.21</w:t>
                  </w:r>
                </w:p>
              </w:tc>
            </w:tr>
            <w:tr>
              <w:trPr>
                <w:trHeight w:val="360" w:hRule="auto"/>
              </w:trPr>
              body10
              <w:tc>
                <w:tcPr>
                  <w:tcBorders>
                    <w:bottom w:val="single" w:sz="12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NLP models(BERT, bioBERT, etc)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  <w:t xml:space="preserve">0.20</w:t>
                  </w:r>
                </w:p>
              </w:tc>
            </w:tr>
          </w:tbl>
          <w:bookmarkEnd w:id="149"/>
        </w:tc>
      </w:tr>
    </w:tbl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top10-impact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7: Top 10 tools by Impact Score.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autofit"/>
              <w:jc w:val="center"/>
              <w:tblW w:type="pct" w:w="5000"/>
              <w:tblLook w:firstRow="1" w:lastRow="0" w:firstColumn="0" w:lastColumn="0" w:noHBand="0" w:noVBand="1"/>
            </w:tblPr>
            <w:tr>
              <w:trPr>
                <w:trHeight w:val="360" w:hRule="auto"/>
                <w:tblHeader/>
              </w:trPr>
              header 1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2E4A6B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FFFFFF"/>
                    </w:rPr>
                    <w:t xml:space="preserve">Tool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2E4A6B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z w:val="18"/>
                      <w:szCs w:val="18"/>
                      <w:color w:val="FFFFFF"/>
                    </w:rPr>
                    <w:t xml:space="preserve">Training Impact Score</w:t>
                  </w:r>
                </w:p>
              </w:tc>
            </w:tr>
            <w:tr>
              <w:trPr>
                <w:trHeight w:val="360" w:hRule="auto"/>
              </w:trPr>
              body 1
              <w:tc>
                <w:tcPr>
                  <w:tcBorders>
                    <w:bottom w:val="single" w:sz="6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Electronic Health Records (EHR) analytics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  <w:t xml:space="preserve">0.31</w:t>
                  </w:r>
                </w:p>
              </w:tc>
            </w:tr>
            <w:tr>
              <w:trPr>
                <w:trHeight w:val="360" w:hRule="auto"/>
              </w:trPr>
              body 2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Causal Analysis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  <w:t xml:space="preserve">0.27</w:t>
                  </w:r>
                </w:p>
              </w:tc>
            </w:tr>
            <w:tr>
              <w:trPr>
                <w:trHeight w:val="360" w:hRule="auto"/>
              </w:trPr>
              body 3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Regression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  <w:t xml:space="preserve">0.24</w:t>
                  </w:r>
                </w:p>
              </w:tc>
            </w:tr>
            <w:tr>
              <w:trPr>
                <w:trHeight w:val="360" w:hRule="auto"/>
              </w:trPr>
              body 4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Clustering or pattern recognition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  <w:t xml:space="preserve">0.21</w:t>
                  </w:r>
                </w:p>
              </w:tc>
            </w:tr>
            <w:tr>
              <w:trPr>
                <w:trHeight w:val="360" w:hRule="auto"/>
              </w:trPr>
              body 5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R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  <w:t xml:space="preserve">0.20</w:t>
                  </w:r>
                </w:p>
              </w:tc>
            </w:tr>
            <w:tr>
              <w:trPr>
                <w:trHeight w:val="360" w:hRule="auto"/>
              </w:trPr>
              body 6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SQL &amp; Database management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  <w:t xml:space="preserve">0.19</w:t>
                  </w:r>
                </w:p>
              </w:tc>
            </w:tr>
            <w:tr>
              <w:trPr>
                <w:trHeight w:val="360" w:hRule="auto"/>
              </w:trPr>
              body 7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GitHub (free)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  <w:t xml:space="preserve">0.19</w:t>
                  </w:r>
                </w:p>
              </w:tc>
            </w:tr>
            <w:tr>
              <w:trPr>
                <w:trHeight w:val="360" w:hRule="auto"/>
              </w:trPr>
              body 8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Clinical trial design and analysis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  <w:t xml:space="preserve">0.18</w:t>
                  </w:r>
                </w:p>
              </w:tc>
            </w:tr>
            <w:tr>
              <w:trPr>
                <w:trHeight w:val="360" w:hRule="auto"/>
              </w:trPr>
              body 9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NLP models(BERT, bioBERT, etc)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  <w:t xml:space="preserve">0.18</w:t>
                  </w:r>
                </w:p>
              </w:tc>
            </w:tr>
            <w:tr>
              <w:trPr>
                <w:trHeight w:val="360" w:hRule="auto"/>
              </w:trPr>
              body10
              <w:tc>
                <w:tcPr>
                  <w:tcBorders>
                    <w:bottom w:val="single" w:sz="12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000000"/>
                    </w:rPr>
                    <w:t xml:space="preserve">Deep Learning (CNN, RNN)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80" w:before="80" w:line="240"/>
                    <w:ind w:left="80" w:right="8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z w:val="18"/>
                      <w:szCs w:val="18"/>
                      <w:color w:val="1A5276"/>
                    </w:rPr>
                    <w:t xml:space="preserve">0.17</w:t>
                  </w:r>
                </w:p>
              </w:tc>
            </w:tr>
          </w:tbl>
          <w:bookmarkEnd w:id="150"/>
        </w:tc>
      </w:tr>
    </w:tbl>
    <w:bookmarkEnd w:id="151"/>
    <w:bookmarkStart w:id="168" w:name="X2bb81c915082401b8a4dce1b8794e84de529e40"/>
    <w:p>
      <w:pPr>
        <w:pStyle w:val="Heading3"/>
      </w:pPr>
      <w:r>
        <w:t xml:space="preserve">7.2 Training Priority by Skill Level (all tools)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q47-priority-by-skill"/>
          <w:p>
            <w:pPr>
              <w:pStyle w:val="Compact"/>
              <w:jc w:val="center"/>
            </w:pPr>
            <w:r>
              <w:drawing>
                <wp:inline>
                  <wp:extent cx="5334000" cy="8000999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WP6.1_report_files/figure-docx/fig-q47-priority-by-skill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000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20: Training priority by tool, faceted by current skill level: programming languages, IDEs, and data science platforms (Q47).</w:t>
            </w:r>
          </w:p>
          <w:bookmarkEnd w:id="155"/>
        </w:tc>
      </w:tr>
    </w:tbl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q48-priority-by-skill"/>
          <w:p>
            <w:pPr>
              <w:pStyle w:val="Compact"/>
              <w:jc w:val="center"/>
            </w:pPr>
            <w:r>
              <w:drawing>
                <wp:inline>
                  <wp:extent cx="5334000" cy="8000999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WP6.1_report_files/figure-docx/fig-q48-priority-by-skill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000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21: Training priority by tool, faceted by current skill level: statistical and machine learning methods (Q48).</w:t>
            </w:r>
          </w:p>
          <w:bookmarkEnd w:id="159"/>
        </w:tc>
      </w:tr>
    </w:tbl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fig-q49-priority-by-skill"/>
          <w:p>
            <w:pPr>
              <w:pStyle w:val="Compact"/>
              <w:jc w:val="center"/>
            </w:pPr>
            <w:r>
              <w:drawing>
                <wp:inline>
                  <wp:extent cx="5334000" cy="53340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WP6.1_report_files/figure-docx/fig-q49-priority-by-skill-1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3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22: Training priority by tool, faceted by current skill level: domain-specific health analytics tools (Q49).</w:t>
            </w:r>
          </w:p>
          <w:bookmarkEnd w:id="163"/>
        </w:tc>
      </w:tr>
    </w:tbl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7" w:name="fig-q50-priority-by-skill"/>
          <w:p>
            <w:pPr>
              <w:pStyle w:val="Compact"/>
              <w:jc w:val="center"/>
            </w:pPr>
            <w:r>
              <w:drawing>
                <wp:inline>
                  <wp:extent cx="5334000" cy="5334000"/>
                  <wp:effectExtent b="0" l="0" r="0" t="0"/>
                  <wp:docPr descr="" title="" id="165" name="Picture"/>
                  <a:graphic>
                    <a:graphicData uri="http://schemas.openxmlformats.org/drawingml/2006/picture">
                      <pic:pic>
                        <pic:nvPicPr>
                          <pic:cNvPr descr="WP6.1_report_files/figure-docx/fig-q50-priority-by-skill-1.png" id="1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3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23: Training priority by tool, faceted by current skill level: AI and LLM tools (Q50).</w:t>
            </w:r>
          </w:p>
          <w:bookmarkEnd w:id="167"/>
        </w:tc>
      </w:tr>
    </w:tbl>
    <w:bookmarkEnd w:id="168"/>
    <w:bookmarkStart w:id="173" w:name="training-demand-vs-current-use"/>
    <w:p>
      <w:pPr>
        <w:pStyle w:val="Heading3"/>
      </w:pPr>
      <w:r>
        <w:t xml:space="preserve">7.3 Training Demand vs Current Use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scatter-demand-vs-no-need"/>
          <w:p>
            <w:pPr>
              <w:pStyle w:val="Compact"/>
              <w:jc w:val="center"/>
            </w:pPr>
            <w:r>
              <w:drawing>
                <wp:inline>
                  <wp:extent cx="5334000" cy="4000499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WP6.1_report_files/figure-docx/fig-scatter-demand-vs-no-need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004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24: Training demand: positive demand vs neither want nor need.</w:t>
            </w:r>
          </w:p>
          <w:bookmarkEnd w:id="172"/>
        </w:tc>
      </w:tr>
    </w:tbl>
    <w:bookmarkEnd w:id="173"/>
    <w:bookmarkStart w:id="177" w:name="Xa8d299a968ed6a9252605fd67511d49daf80cd7"/>
    <w:p>
      <w:pPr>
        <w:pStyle w:val="Heading3"/>
      </w:pPr>
      <w:r>
        <w:t xml:space="preserve">7.4 Heatmap of Demand, Importance and Impact Scores</w:t>
      </w:r>
    </w:p>
    <w:p>
      <w:pPr>
        <w:pStyle w:val="CaptionedFigure"/>
      </w:pPr>
      <w:r>
        <w:drawing>
          <wp:inline>
            <wp:extent cx="5334000" cy="7334250"/>
            <wp:effectExtent b="0" l="0" r="0" t="0"/>
            <wp:docPr descr="Heatmap of demand, importance and impact scores" title="" id="175" name="Picture"/>
            <a:graphic>
              <a:graphicData uri="http://schemas.openxmlformats.org/drawingml/2006/picture">
                <pic:pic>
                  <pic:nvPicPr>
                    <pic:cNvPr descr="WP6.1_report_files/figure-docx/heatmap-scores-1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34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Heatmap of demand, importance and impact scores</w:t>
      </w:r>
    </w:p>
    <w:bookmarkEnd w:id="177"/>
    <w:bookmarkEnd w:id="1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39" Type="http://schemas.openxmlformats.org/officeDocument/2006/relationships/image" Target="media/rId39.png"/><Relationship Id="rId133" Type="http://schemas.openxmlformats.org/officeDocument/2006/relationships/image" Target="media/rId133.png"/><Relationship Id="rId63" Type="http://schemas.openxmlformats.org/officeDocument/2006/relationships/image" Target="media/rId63.png"/><Relationship Id="rId76" Type="http://schemas.openxmlformats.org/officeDocument/2006/relationships/image" Target="media/rId76.png"/><Relationship Id="rId175" Type="http://schemas.openxmlformats.org/officeDocument/2006/relationships/customXml" Target="../customXml/item1.xml"/><Relationship Id="rId7" Type="http://schemas.openxmlformats.org/officeDocument/2006/relationships/footnotes" Target="footnotes.xml"/><Relationship Id="rId108" Type="http://schemas.openxmlformats.org/officeDocument/2006/relationships/image" Target="media/rId108.png"/><Relationship Id="rId71" Type="http://schemas.openxmlformats.org/officeDocument/2006/relationships/image" Target="media/rId71.png"/><Relationship Id="rId92" Type="http://schemas.openxmlformats.org/officeDocument/2006/relationships/image" Target="media/rId92.png"/><Relationship Id="rId2" Type="http://schemas.openxmlformats.org/officeDocument/2006/relationships/styles" Target="styles.xml"/><Relationship Id="rId174" Type="http://schemas.openxmlformats.org/officeDocument/2006/relationships/image" Target="media/rId174.png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23" Type="http://schemas.openxmlformats.org/officeDocument/2006/relationships/image" Target="media/rId123.png"/><Relationship Id="rId128" Type="http://schemas.openxmlformats.org/officeDocument/2006/relationships/image" Target="media/rId128.png"/><Relationship Id="rId53" Type="http://schemas.openxmlformats.org/officeDocument/2006/relationships/image" Target="media/rId53.png"/><Relationship Id="rId58" Type="http://schemas.openxmlformats.org/officeDocument/2006/relationships/image" Target="media/rId58.png"/><Relationship Id="rId5" Type="http://schemas.openxmlformats.org/officeDocument/2006/relationships/fontTable" Target="fontTable.xml"/><Relationship Id="rId152" Type="http://schemas.openxmlformats.org/officeDocument/2006/relationships/image" Target="media/rId152.png"/><Relationship Id="rId160" Type="http://schemas.openxmlformats.org/officeDocument/2006/relationships/image" Target="media/rId160.png"/><Relationship Id="rId95" Type="http://schemas.openxmlformats.org/officeDocument/2006/relationships/image" Target="media/rId95.png"/><Relationship Id="rId31" Type="http://schemas.openxmlformats.org/officeDocument/2006/relationships/image" Target="media/rId31.png"/><Relationship Id="rId156" Type="http://schemas.openxmlformats.org/officeDocument/2006/relationships/image" Target="media/rId156.png"/><Relationship Id="rId81" Type="http://schemas.openxmlformats.org/officeDocument/2006/relationships/image" Target="media/rId81.png"/><Relationship Id="rId164" Type="http://schemas.openxmlformats.org/officeDocument/2006/relationships/image" Target="media/rId164.png"/><Relationship Id="rId86" Type="http://schemas.openxmlformats.org/officeDocument/2006/relationships/image" Target="media/rId86.png"/><Relationship Id="rId169" Type="http://schemas.openxmlformats.org/officeDocument/2006/relationships/image" Target="media/rId169.png"/><Relationship Id="rId101" Type="http://schemas.openxmlformats.org/officeDocument/2006/relationships/image" Target="media/rId101.png"/><Relationship Id="rId177" Type="http://schemas.openxmlformats.org/officeDocument/2006/relationships/customXml" Target="../customXml/item3.xml"/><Relationship Id="rId4" Type="http://schemas.openxmlformats.org/officeDocument/2006/relationships/webSettings" Target="webSettings.xml"/><Relationship Id="rId27" Type="http://schemas.openxmlformats.org/officeDocument/2006/relationships/image" Target="media/rId27.png"/><Relationship Id="rId35" Type="http://schemas.openxmlformats.org/officeDocument/2006/relationships/image" Target="media/rId35.png"/><Relationship Id="rId43" Type="http://schemas.openxmlformats.org/officeDocument/2006/relationships/image" Target="media/rId43.png"/><Relationship Id="rId113" Type="http://schemas.openxmlformats.org/officeDocument/2006/relationships/image" Target="media/rId113.png"/><Relationship Id="rId48" Type="http://schemas.openxmlformats.org/officeDocument/2006/relationships/image" Target="media/rId48.png"/><Relationship Id="rId118" Type="http://schemas.openxmlformats.org/officeDocument/2006/relationships/image" Target="media/rId118.png"/><Relationship Id="rId8" Type="http://schemas.openxmlformats.org/officeDocument/2006/relationships/comments" Target="comments.xml"/><Relationship Id="rId98" Type="http://schemas.openxmlformats.org/officeDocument/2006/relationships/image" Target="media/rId98.png"/><Relationship Id="rId176" Type="http://schemas.openxmlformats.org/officeDocument/2006/relationships/customXml" Target="../customXml/item2.xml"/><Relationship Id="rId3" Type="http://schemas.openxmlformats.org/officeDocument/2006/relationships/settings" Target="setting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82C1533C7AD74FAF51DA649FDA7DD4" ma:contentTypeVersion="10" ma:contentTypeDescription="Create a new document." ma:contentTypeScope="" ma:versionID="ed974e5c3963107a817afb4cc3b0f7bd">
  <xsd:schema xmlns:xsd="http://www.w3.org/2001/XMLSchema" xmlns:xs="http://www.w3.org/2001/XMLSchema" xmlns:p="http://schemas.microsoft.com/office/2006/metadata/properties" xmlns:ns2="9e614bff-0aa0-4dc7-ab2a-edf1cba1a7ae" xmlns:ns3="749dd522-d1ed-418e-8882-d8e2115cba44" targetNamespace="http://schemas.microsoft.com/office/2006/metadata/properties" ma:root="true" ma:fieldsID="2f085819e8bf9b2a2c7d5c08d2ec0119" ns2:_="" ns3:_="">
    <xsd:import namespace="9e614bff-0aa0-4dc7-ab2a-edf1cba1a7ae"/>
    <xsd:import namespace="749dd522-d1ed-418e-8882-d8e2115cba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614bff-0aa0-4dc7-ab2a-edf1cba1a7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b38a4a9-7397-48a1-b74f-79de11e99f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9dd522-d1ed-418e-8882-d8e2115cba4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b6c0e47-d0df-41ff-8606-7c6fccd676e9}" ma:internalName="TaxCatchAll" ma:showField="CatchAllData" ma:web="749dd522-d1ed-418e-8882-d8e2115cba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49dd522-d1ed-418e-8882-d8e2115cba44" xsi:nil="true"/>
    <lcf76f155ced4ddcb4097134ff3c332f xmlns="9e614bff-0aa0-4dc7-ab2a-edf1cba1a7a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229E42D-E0C3-4084-8FE8-8A4749887654}"/>
</file>

<file path=customXml/itemProps2.xml><?xml version="1.0" encoding="utf-8"?>
<ds:datastoreItem xmlns:ds="http://schemas.openxmlformats.org/officeDocument/2006/customXml" ds:itemID="{2FE669DD-7F5F-4933-8684-2898A97C05A5}"/>
</file>

<file path=customXml/itemProps3.xml><?xml version="1.0" encoding="utf-8"?>
<ds:datastoreItem xmlns:ds="http://schemas.openxmlformats.org/officeDocument/2006/customXml" ds:itemID="{88D98B58-D51C-409B-8AD0-37150C2FDCC8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WP6.1 - Learning Needs Characterised by Training Demand, Importance &amp; Impact</dc:title>
  <dc:creator>Jessie Roberts</dc:creator>
  <cp:keywords/>
  <dcterms:created xsi:type="dcterms:W3CDTF">2026-07-04T06:05:33Z</dcterms:created>
  <dcterms:modified xsi:type="dcterms:W3CDTF">2026-07-04T06:05:33Z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04 July 2026</vt:lpwstr>
  </property>
  <property fmtid="{D5CDD505-2E9C-101B-9397-08002B2CF9AE}" pid="6" name="date-format">
    <vt:lpwstr>DD MMMM YYYY</vt:lpwstr>
  </property>
  <property fmtid="{D5CDD505-2E9C-101B-9397-08002B2CF9AE}" pid="7" name="editor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  <property fmtid="{D5CDD505-2E9C-101B-9397-08002B2CF9AE}" pid="14" name="ContentTypeId">
    <vt:lpwstr>0x0101000782C1533C7AD74FAF51DA649FDA7DD4</vt:lpwstr>
  </property>
</Properties>
</file>