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color w:val="1F3A34"/>
        </w:rPr>
        <w:t xml:space="preserve">AI Usage Notes</w:t>
      </w:r>
    </w:p>
    <w:p>
      <w:pPr>
        <w:spacing w:after="120"/>
      </w:pPr>
      <w:r>
        <w:t xml:space="preserve">This project was built with an agentic AI assistant. Per the assessment's emphasis on </w:t>
      </w:r>
      <w:r>
        <w:rPr>
          <w:i/>
          <w:iCs/>
        </w:rPr>
        <w:t xml:space="preserve">intentional</w:t>
      </w:r>
      <w:r>
        <w:t xml:space="preserve"> use of AI, here's how it was used and where human engineering judgment drove the decisions.</w:t>
      </w:r>
    </w:p>
    <w:p>
      <w:pPr>
        <w:pStyle w:val="Heading2"/>
        <w:spacing w:after="120" w:before="240"/>
      </w:pPr>
      <w:r>
        <w:rPr>
          <w:color w:val="1F3A34"/>
        </w:rPr>
        <w:t xml:space="preserve">Where AI accelerated the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Boilerplate &amp; scaffolding:</w:t>
      </w:r>
      <w:r>
        <w:t xml:space="preserve"> Express route wiring, MUI component skeletons, the seed script's data tables, and repetitive test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drafting:</w:t>
      </w:r>
      <w:r>
        <w:t xml:space="preserve"> first drafts of the aggregate queries (</w:t>
      </w:r>
      <w:r>
        <w:rPr>
          <w:rFonts w:ascii="IBM Plex Mono" w:cs="IBM Plex Mono" w:eastAsia="IBM Plex Mono" w:hAnsi="IBM Plex Mono"/>
          <w:color w:val="B08442"/>
        </w:rPr>
        <w:t xml:space="preserve">PERCENTILE_CONT</w:t>
      </w:r>
      <w:r>
        <w:t xml:space="preserve"> for median, </w:t>
      </w:r>
      <w:r>
        <w:rPr>
          <w:rFonts w:ascii="IBM Plex Mono" w:cs="IBM Plex Mono" w:eastAsia="IBM Plex Mono" w:hAnsi="IBM Plex Mono"/>
          <w:color w:val="B08442"/>
        </w:rPr>
        <w:t xml:space="preserve">GROUP BY</w:t>
      </w:r>
      <w:r>
        <w:t xml:space="preserve"> dimensions), then reviewed and tuned.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Formatting/config:</w:t>
      </w:r>
      <w:r>
        <w:t xml:space="preserve"> Vite config, Docker Compose, </w:t>
      </w:r>
      <w:r>
        <w:rPr>
          <w:rFonts w:ascii="IBM Plex Mono" w:cs="IBM Plex Mono" w:eastAsia="IBM Plex Mono" w:hAnsi="IBM Plex Mono"/>
          <w:color w:val="B08442"/>
        </w:rPr>
        <w:t xml:space="preserve">.env</w:t>
      </w:r>
      <w:r>
        <w:t xml:space="preserve"> templates.</w:t>
      </w:r>
    </w:p>
    <w:p>
      <w:pPr>
        <w:pStyle w:val="Heading2"/>
        <w:spacing w:after="120" w:before="240"/>
      </w:pPr>
      <w:r>
        <w:rPr>
          <w:color w:val="1F3A34"/>
        </w:rPr>
        <w:t xml:space="preserve">Where human judgment drove decisions (not delegated to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Scope.</w:t>
      </w:r>
      <w:r>
        <w:t xml:space="preserve"> Deciding what to </w:t>
      </w:r>
      <w:r>
        <w:rPr>
          <w:i/>
          <w:iCs/>
        </w:rPr>
        <w:t xml:space="preserve">leave out</w:t>
      </w:r>
      <w:r>
        <w:t xml:space="preserve"> (payroll, RBAC, live FX, Excel import) and why — see </w:t>
      </w:r>
      <w:r>
        <w:rPr>
          <w:rFonts w:ascii="IBM Plex Mono" w:cs="IBM Plex Mono" w:eastAsia="IBM Plex Mono" w:hAnsi="IBM Plex Mono"/>
          <w:color w:val="B08442"/>
        </w:rPr>
        <w:t xml:space="preserve">REQUIREMENTS.md</w:t>
      </w:r>
      <w:r>
        <w:t xml:space="preserve">. This is a product-thinking call, not a code-generation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model.</w:t>
      </w:r>
      <w:r>
        <w:t xml:space="preserve"> Money as integer minor units; append-only </w:t>
      </w:r>
      <w:r>
        <w:rPr>
          <w:rFonts w:ascii="IBM Plex Mono" w:cs="IBM Plex Mono" w:eastAsia="IBM Plex Mono" w:hAnsi="IBM Plex Mono"/>
          <w:color w:val="B08442"/>
        </w:rPr>
        <w:t xml:space="preserve">salary_history</w:t>
      </w:r>
      <w:r>
        <w:t xml:space="preserve"> with </w:t>
      </w:r>
      <w:r>
        <w:rPr>
          <w:rFonts w:ascii="IBM Plex Mono" w:cs="IBM Plex Mono" w:eastAsia="IBM Plex Mono" w:hAnsi="IBM Plex Mono"/>
          <w:color w:val="B08442"/>
        </w:rPr>
        <w:t xml:space="preserve">effective_to IS NULL</w:t>
      </w:r>
      <w:r>
        <w:t xml:space="preserve"> = current; a </w:t>
      </w:r>
      <w:r>
        <w:rPr>
          <w:rFonts w:ascii="IBM Plex Mono" w:cs="IBM Plex Mono" w:eastAsia="IBM Plex Mono" w:hAnsi="IBM Plex Mono"/>
          <w:color w:val="B08442"/>
        </w:rPr>
        <w:t xml:space="preserve">currency_rates</w:t>
      </w:r>
      <w:r>
        <w:t xml:space="preserve"> reference table so USD normalization is a clean seam. These integrity decisions are the backbone of a compensation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Architecture.</w:t>
      </w:r>
      <w:r>
        <w:t xml:space="preserve"> The routes → services → repositories layering, with </w:t>
      </w:r>
      <w:r>
        <w:rPr>
          <w:i/>
          <w:iCs/>
        </w:rPr>
        <w:t xml:space="preserve">pure</w:t>
      </w:r>
      <w:r>
        <w:t xml:space="preserve"> logic in </w:t>
      </w:r>
      <w:r>
        <w:rPr>
          <w:rFonts w:ascii="IBM Plex Mono" w:cs="IBM Plex Mono" w:eastAsia="IBM Plex Mono" w:hAnsi="IBM Plex Mono"/>
          <w:color w:val="B08442"/>
        </w:rPr>
        <w:t xml:space="preserve">services/</w:t>
      </w:r>
      <w:r>
        <w:t xml:space="preserve"> so the core is unit-testable without a DB. This is what makes the tests fast and deterministic.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Performance at 10k.</w:t>
      </w:r>
      <w:r>
        <w:t xml:space="preserve"> Server-side pagination (cap 100/page), SQL-level aggregation, targeted indexes, batched transactional seeding.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Security.</w:t>
      </w:r>
      <w:r>
        <w:t xml:space="preserve"> Parameterized SQL everywhere; an explicit </w:t>
      </w:r>
      <w:r>
        <w:rPr>
          <w:rFonts w:ascii="IBM Plex Mono" w:cs="IBM Plex Mono" w:eastAsia="IBM Plex Mono" w:hAnsi="IBM Plex Mono"/>
          <w:color w:val="B08442"/>
        </w:rPr>
        <w:t xml:space="preserve">safeSortColumn</w:t>
      </w:r>
      <w:r>
        <w:t xml:space="preserve"> whitelist so a user-supplied </w:t>
      </w:r>
      <w:r>
        <w:rPr>
          <w:rFonts w:ascii="IBM Plex Mono" w:cs="IBM Plex Mono" w:eastAsia="IBM Plex Mono" w:hAnsi="IBM Plex Mono"/>
          <w:color w:val="B08442"/>
        </w:rPr>
        <w:t xml:space="preserve">ORDER BY</w:t>
      </w:r>
      <w:r>
        <w:t xml:space="preserve"> can't inject; bcrypt + JWT.</w:t>
      </w:r>
    </w:p>
    <w:p>
      <w:pPr>
        <w:pStyle w:val="Heading2"/>
        <w:spacing w:after="120" w:before="240"/>
      </w:pPr>
      <w:r>
        <w:rPr>
          <w:color w:val="1F3A34"/>
        </w:rPr>
        <w:t xml:space="preserve">Verification (not vibes)</w:t>
      </w:r>
    </w:p>
    <w:p>
      <w:pPr>
        <w:spacing w:after="120"/>
      </w:pPr>
      <w:r>
        <w:t xml:space="preserve">Nothing was trusted because the AI wrote it. The full stack was run against a real PostgreSQL 16 instance: schema migrated, 10,000 rows seeded (~2s), every endpoint smoke-tested (login, list, detail, salary-change audit trail, all analytics), validation and auth failure paths confirmed (400/401), and all 31 unit tests run green (~0.3s). The frontend was built to confirm it compiles.</w:t>
      </w:r>
    </w:p>
    <w:p>
      <w:pPr>
        <w:pStyle w:val="Heading2"/>
        <w:spacing w:after="120" w:before="240"/>
      </w:pPr>
      <w:r>
        <w:rPr>
          <w:color w:val="1F3A34"/>
        </w:rPr>
        <w:t xml:space="preserve">Prompting approach</w:t>
      </w:r>
    </w:p>
    <w:p>
      <w:pPr>
        <w:spacing w:after="120"/>
      </w:pPr>
      <w:r>
        <w:t xml:space="preserve">Work was driven incrementally — requirements first, then schema, then the pure logic + its tests, then the HTTP layer, then the UI — so each layer could be validated before the next was built on top of it. This mirrors the incremental-commit history in the repo.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E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Georgia" w:cs="Georgia" w:eastAsia="Georgia" w:hAnsi="Georgia"/>
      <w:b/>
      <w:bCs/>
      <w:color w:val="1F3A34"/>
      <w:sz w:val="36"/>
      <w:szCs w:val="36"/>
    </w:rPr>
  </w:style>
  <w:style w:type="paragraph" w:styleId="Heading2">
    <w:name w:val="Heading 2"/>
    <w:rPr>
      <w:rFonts w:ascii="Georgia" w:cs="Georgia" w:eastAsia="Georgia" w:hAnsi="Georgia"/>
      <w:b/>
      <w:bCs/>
      <w:color w:val="1F3A34"/>
      <w:sz w:val="28"/>
      <w:szCs w:val="28"/>
    </w:rPr>
  </w:style>
  <w:style w:type="paragraph" w:styleId="Heading3">
    <w:name w:val="Heading 3"/>
    <w:rPr>
      <w:rFonts w:ascii="Georgia" w:cs="Georgia" w:eastAsia="Georgia" w:hAnsi="Georgia"/>
      <w:b/>
      <w:bCs/>
      <w:color w:val="1F3A34"/>
      <w:sz w:val="23"/>
      <w:szCs w:val="23"/>
    </w:rPr>
  </w:style>
  <w:style w:type="paragraph" w:styleId="Heading4">
    <w:name w:val="Heading 4"/>
    <w:rPr>
      <w:rFonts w:ascii="Calibri" w:cs="Calibri" w:eastAsia="Calibri" w:hAnsi="Calibri"/>
      <w:b/>
      <w:bCs/>
      <w:color w:val="B0844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2026-07-03T10:43:12.844Z</dcterms:created>
  <dcterms:modified xsi:type="dcterms:W3CDTF">2026-07-03T10:43:12.844Z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