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color w:val="1F3A34"/>
        </w:rPr>
        <w:t xml:space="preserve">Architecture &amp; Design Notes</w:t>
      </w:r>
    </w:p>
    <w:p>
      <w:pPr>
        <w:pStyle w:val="Heading2"/>
        <w:spacing w:after="120" w:before="240"/>
      </w:pPr>
      <w:r>
        <w:rPr>
          <w:color w:val="1F3A34"/>
        </w:rPr>
        <w:t xml:space="preserve">High-level</w:t>
      </w:r>
    </w:p>
    <w:p>
      <w:pPr>
        <w:shd w:fill="F2F0EA" w:val="clear"/>
        <w:spacing w:after="0" w:before="0"/>
      </w:pPr>
      <w:r>
        <w:rPr>
          <w:rFonts w:ascii="IBM Plex Mono" w:cs="IBM Plex Mono" w:eastAsia="IBM Plex Mono" w:hAnsi="IBM Plex Mono"/>
          <w:color w:val="1C1E1D"/>
          <w:sz w:val="16"/>
          <w:szCs w:val="16"/>
        </w:rPr>
        <w:t xml:space="preserve">┌──────────────┐      HTTPS/JSON      ┌────────────────────┐      SQL      ┌──────────────┐</w:t>
      </w:r>
    </w:p>
    <w:p>
      <w:pPr>
        <w:shd w:fill="F2F0EA" w:val="clear"/>
        <w:spacing w:after="0" w:before="0"/>
      </w:pPr>
      <w:r>
        <w:rPr>
          <w:rFonts w:ascii="IBM Plex Mono" w:cs="IBM Plex Mono" w:eastAsia="IBM Plex Mono" w:hAnsi="IBM Plex Mono"/>
          <w:color w:val="1C1E1D"/>
          <w:sz w:val="16"/>
          <w:szCs w:val="16"/>
        </w:rPr>
        <w:t xml:space="preserve">│  React SPA   │  ◄───────────────►   │  Node/Express API  │  ◄────────►   │  PostgreSQL  │</w:t>
      </w:r>
    </w:p>
    <w:p>
      <w:pPr>
        <w:shd w:fill="F2F0EA" w:val="clear"/>
        <w:spacing w:after="0" w:before="0"/>
      </w:pPr>
      <w:r>
        <w:rPr>
          <w:rFonts w:ascii="IBM Plex Mono" w:cs="IBM Plex Mono" w:eastAsia="IBM Plex Mono" w:hAnsi="IBM Plex Mono"/>
          <w:color w:val="1C1E1D"/>
          <w:sz w:val="16"/>
          <w:szCs w:val="16"/>
        </w:rPr>
        <w:t xml:space="preserve">│ (Vite + MUI) │   JWT in header      │   (layered)        │   node-pg     │              │</w:t>
      </w:r>
    </w:p>
    <w:p>
      <w:pPr>
        <w:shd w:fill="F2F0EA" w:val="clear"/>
        <w:spacing w:after="0" w:before="0"/>
      </w:pPr>
      <w:r>
        <w:rPr>
          <w:rFonts w:ascii="IBM Plex Mono" w:cs="IBM Plex Mono" w:eastAsia="IBM Plex Mono" w:hAnsi="IBM Plex Mono"/>
          <w:color w:val="1C1E1D"/>
          <w:sz w:val="16"/>
          <w:szCs w:val="16"/>
        </w:rPr>
        <w:t xml:space="preserve">└──────────────┘                      └────────────────────┘               └──────────────┘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color w:val="1F3A34"/>
        </w:rPr>
        <w:t xml:space="preserve">Backend layering</w:t>
      </w:r>
    </w:p>
    <w:p>
      <w:pPr>
        <w:shd w:fill="F2F0EA" w:val="clear"/>
        <w:spacing w:after="0" w:before="0"/>
      </w:pPr>
      <w:r>
        <w:rPr>
          <w:rFonts w:ascii="IBM Plex Mono" w:cs="IBM Plex Mono" w:eastAsia="IBM Plex Mono" w:hAnsi="IBM Plex Mono"/>
          <w:color w:val="1C1E1D"/>
          <w:sz w:val="16"/>
          <w:szCs w:val="16"/>
        </w:rPr>
        <w:t xml:space="preserve">routes/        HTTP surface — parse/validate input, map to services, shape responses</w:t>
      </w:r>
    </w:p>
    <w:p>
      <w:pPr>
        <w:shd w:fill="F2F0EA" w:val="clear"/>
        <w:spacing w:after="0" w:before="0"/>
      </w:pPr>
      <w:r>
        <w:rPr>
          <w:rFonts w:ascii="IBM Plex Mono" w:cs="IBM Plex Mono" w:eastAsia="IBM Plex Mono" w:hAnsi="IBM Plex Mono"/>
          <w:color w:val="1C1E1D"/>
          <w:sz w:val="16"/>
          <w:szCs w:val="16"/>
        </w:rPr>
        <w:t xml:space="preserve">  └─ services/ business logic — analytics math, currency conversion, salary rules (PURE, unit-tested)</w:t>
      </w:r>
    </w:p>
    <w:p>
      <w:pPr>
        <w:shd w:fill="F2F0EA" w:val="clear"/>
        <w:spacing w:after="0" w:before="0"/>
      </w:pPr>
      <w:r>
        <w:rPr>
          <w:rFonts w:ascii="IBM Plex Mono" w:cs="IBM Plex Mono" w:eastAsia="IBM Plex Mono" w:hAnsi="IBM Plex Mono"/>
          <w:color w:val="1C1E1D"/>
          <w:sz w:val="16"/>
          <w:szCs w:val="16"/>
        </w:rPr>
        <w:t xml:space="preserve">       └─ db/  data access — parameterized SQL via node-postgres pool</w:t>
      </w:r>
    </w:p>
    <w:p>
      <w:pPr>
        <w:spacing w:after="120"/>
      </w:pPr>
    </w:p>
    <w:p>
      <w:pPr>
        <w:spacing w:after="120"/>
      </w:pPr>
      <w:r>
        <w:t xml:space="preserve">Pure logic (</w:t>
      </w:r>
      <w:r>
        <w:rPr>
          <w:rFonts w:ascii="IBM Plex Mono" w:cs="IBM Plex Mono" w:eastAsia="IBM Plex Mono" w:hAnsi="IBM Plex Mono"/>
          <w:color w:val="B08442"/>
        </w:rPr>
        <w:t xml:space="preserve">services/analytics.js</w:t>
      </w:r>
      <w:r>
        <w:t xml:space="preserve">, </w:t>
      </w:r>
      <w:r>
        <w:rPr>
          <w:rFonts w:ascii="IBM Plex Mono" w:cs="IBM Plex Mono" w:eastAsia="IBM Plex Mono" w:hAnsi="IBM Plex Mono"/>
          <w:color w:val="B08442"/>
        </w:rPr>
        <w:t xml:space="preserve">services/currency.js</w:t>
      </w:r>
      <w:r>
        <w:t xml:space="preserve">, </w:t>
      </w:r>
      <w:r>
        <w:rPr>
          <w:rFonts w:ascii="IBM Plex Mono" w:cs="IBM Plex Mono" w:eastAsia="IBM Plex Mono" w:hAnsi="IBM Plex Mono"/>
          <w:color w:val="B08442"/>
        </w:rPr>
        <w:t xml:space="preserve">services/validation.js</w:t>
      </w:r>
      <w:r>
        <w:t xml:space="preserve">) has </w:t>
      </w:r>
      <w:r>
        <w:rPr>
          <w:b/>
          <w:bCs/>
        </w:rPr>
        <w:t xml:space="preserve">no DB or HTTP dependency</w:t>
      </w:r>
      <w:r>
        <w:t xml:space="preserve">, so unit tests run in milliseconds with no database.</w:t>
      </w:r>
    </w:p>
    <w:p>
      <w:pPr>
        <w:pStyle w:val="Heading2"/>
        <w:spacing w:after="120" w:before="240"/>
      </w:pPr>
      <w:r>
        <w:rPr>
          <w:color w:val="1F3A34"/>
        </w:rPr>
        <w:t xml:space="preserve">Key data-model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Money as integer minor units (cents).</w:t>
      </w:r>
      <w:r>
        <w:t xml:space="preserve"> </w:t>
      </w:r>
      <w:r>
        <w:rPr>
          <w:rFonts w:ascii="IBM Plex Mono" w:cs="IBM Plex Mono" w:eastAsia="IBM Plex Mono" w:hAnsi="IBM Plex Mono"/>
          <w:color w:val="B08442"/>
        </w:rPr>
        <w:t xml:space="preserve">amount_minor BIGINT</w:t>
      </w:r>
      <w:r>
        <w:t xml:space="preserve">. Never floats for money.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`salary_history` is append-only.</w:t>
      </w:r>
      <w:r>
        <w:t xml:space="preserve"> Editing a salary inserts a new row and flips the previous row's </w:t>
      </w:r>
      <w:r>
        <w:rPr>
          <w:rFonts w:ascii="IBM Plex Mono" w:cs="IBM Plex Mono" w:eastAsia="IBM Plex Mono" w:hAnsi="IBM Plex Mono"/>
          <w:color w:val="B08442"/>
        </w:rPr>
        <w:t xml:space="preserve">effective_to</w:t>
      </w:r>
      <w:r>
        <w:t xml:space="preserve">. The employee's "current" salary is the row with </w:t>
      </w:r>
      <w:r>
        <w:rPr>
          <w:rFonts w:ascii="IBM Plex Mono" w:cs="IBM Plex Mono" w:eastAsia="IBM Plex Mono" w:hAnsi="IBM Plex Mono"/>
          <w:color w:val="B08442"/>
        </w:rPr>
        <w:t xml:space="preserve">effective_to IS NULL</w:t>
      </w:r>
      <w:r>
        <w:t xml:space="preserve">. This gives a full audit trail — mandatory for compensation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Currency normalization.</w:t>
      </w:r>
      <w:r>
        <w:t xml:space="preserve"> Each salary stores </w:t>
      </w:r>
      <w:r>
        <w:rPr>
          <w:rFonts w:ascii="IBM Plex Mono" w:cs="IBM Plex Mono" w:eastAsia="IBM Plex Mono" w:hAnsi="IBM Plex Mono"/>
          <w:color w:val="B08442"/>
        </w:rPr>
        <w:t xml:space="preserve">amount_minor</w:t>
      </w:r>
      <w:r>
        <w:t xml:space="preserve"> + </w:t>
      </w:r>
      <w:r>
        <w:rPr>
          <w:rFonts w:ascii="IBM Plex Mono" w:cs="IBM Plex Mono" w:eastAsia="IBM Plex Mono" w:hAnsi="IBM Plex Mono"/>
          <w:color w:val="B08442"/>
        </w:rPr>
        <w:t xml:space="preserve">currency</w:t>
      </w:r>
      <w:r>
        <w:t xml:space="preserve">. </w:t>
      </w:r>
      <w:r>
        <w:rPr>
          <w:rFonts w:ascii="IBM Plex Mono" w:cs="IBM Plex Mono" w:eastAsia="IBM Plex Mono" w:hAnsi="IBM Plex Mono"/>
          <w:color w:val="B08442"/>
        </w:rPr>
        <w:t xml:space="preserve">currency_rates</w:t>
      </w:r>
      <w:r>
        <w:t xml:space="preserve"> holds </w:t>
      </w:r>
      <w:r>
        <w:rPr>
          <w:rFonts w:ascii="IBM Plex Mono" w:cs="IBM Plex Mono" w:eastAsia="IBM Plex Mono" w:hAnsi="IBM Plex Mono"/>
          <w:color w:val="B08442"/>
        </w:rPr>
        <w:t xml:space="preserve">rate_to_usd</w:t>
      </w:r>
      <w:r>
        <w:t xml:space="preserve">. Analytics convert to USD in SQL so cross-country comparisons are valid.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Indexes</w:t>
      </w:r>
      <w:r>
        <w:t xml:space="preserve"> on </w:t>
      </w:r>
      <w:r>
        <w:rPr>
          <w:rFonts w:ascii="IBM Plex Mono" w:cs="IBM Plex Mono" w:eastAsia="IBM Plex Mono" w:hAnsi="IBM Plex Mono"/>
          <w:color w:val="B08442"/>
        </w:rPr>
        <w:t xml:space="preserve">department</w:t>
      </w:r>
      <w:r>
        <w:t xml:space="preserve">, </w:t>
      </w:r>
      <w:r>
        <w:rPr>
          <w:rFonts w:ascii="IBM Plex Mono" w:cs="IBM Plex Mono" w:eastAsia="IBM Plex Mono" w:hAnsi="IBM Plex Mono"/>
          <w:color w:val="B08442"/>
        </w:rPr>
        <w:t xml:space="preserve">country</w:t>
      </w:r>
      <w:r>
        <w:t xml:space="preserve">, </w:t>
      </w:r>
      <w:r>
        <w:rPr>
          <w:rFonts w:ascii="IBM Plex Mono" w:cs="IBM Plex Mono" w:eastAsia="IBM Plex Mono" w:hAnsi="IBM Plex Mono"/>
          <w:color w:val="B08442"/>
        </w:rPr>
        <w:t xml:space="preserve">level</w:t>
      </w:r>
      <w:r>
        <w:t xml:space="preserve">, </w:t>
      </w:r>
      <w:r>
        <w:rPr>
          <w:rFonts w:ascii="IBM Plex Mono" w:cs="IBM Plex Mono" w:eastAsia="IBM Plex Mono" w:hAnsi="IBM Plex Mono"/>
          <w:color w:val="B08442"/>
        </w:rPr>
        <w:t xml:space="preserve">status</w:t>
      </w:r>
      <w:r>
        <w:t xml:space="preserve">, and a text-search index on name/email keep list + filter + aggregate queries fast at 10k rows.</w:t>
      </w:r>
    </w:p>
    <w:p>
      <w:pPr>
        <w:pStyle w:val="Heading2"/>
        <w:spacing w:after="120" w:before="240"/>
      </w:pPr>
      <w:r>
        <w:rPr>
          <w:color w:val="1F3A34"/>
        </w:rPr>
        <w:t xml:space="preserve">Why these choices</w:t>
      </w:r>
    </w:p>
    <w:tbl>
      <w:tblPr>
        <w:tblW w:type="dxa" w:w="9360"/>
        <w:tblBorders>
          <w:top w:val="single" w:color="D9D5CC" w:sz="2"/>
          <w:left w:val="single" w:color="D9D5CC" w:sz="2"/>
          <w:bottom w:val="single" w:color="D9D5CC" w:sz="2"/>
          <w:right w:val="single" w:color="D9D5CC" w:sz="2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3A3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7F5EF"/>
                <w:sz w:val="18"/>
                <w:szCs w:val="18"/>
              </w:rPr>
              <w:t xml:space="preserve">Decision</w:t>
            </w:r>
          </w:p>
        </w:tc>
        <w:tc>
          <w:tcPr>
            <w:tcW w:type="dxa" w:w="3120"/>
            <w:shd w:fill="1F3A3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7F5EF"/>
                <w:sz w:val="18"/>
                <w:szCs w:val="18"/>
              </w:rPr>
              <w:t xml:space="preserve">Rationale</w:t>
            </w:r>
          </w:p>
        </w:tc>
        <w:tc>
          <w:tcPr>
            <w:tcW w:type="dxa" w:w="3120"/>
            <w:shd w:fill="1F3A3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7F5EF"/>
                <w:sz w:val="18"/>
                <w:szCs w:val="18"/>
              </w:rPr>
              <w:t xml:space="preserve">Trade-off</w:t>
            </w:r>
          </w:p>
        </w:tc>
      </w:tr>
      <w:tr>
        <w:tc>
          <w:tcPr>
            <w:tcW w:type="dxa" w:w="31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Raw SQL via </w:t>
            </w:r>
            <w:r>
              <w:rPr>
                <w:rFonts w:ascii="IBM Plex Mono" w:cs="IBM Plex Mono" w:eastAsia="IBM Plex Mono" w:hAnsi="IBM Plex Mono"/>
                <w:color w:val="B08442"/>
                <w:sz w:val="18"/>
                <w:szCs w:val="18"/>
              </w:rPr>
              <w:t xml:space="preserve">node-postgres</w:t>
            </w:r>
          </w:p>
        </w:tc>
        <w:tc>
          <w:tcPr>
            <w:tcW w:type="dxa" w:w="31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Full control over the analytical queries that are the heart of this product; no ORM abstraction fighting </w:t>
            </w:r>
            <w:r>
              <w:rPr>
                <w:rFonts w:ascii="IBM Plex Mono" w:cs="IBM Plex Mono" w:eastAsia="IBM Plex Mono" w:hAnsi="IBM Plex Mono"/>
                <w:color w:val="B08442"/>
                <w:sz w:val="18"/>
                <w:szCs w:val="18"/>
              </w:rPr>
              <w:t xml:space="preserve">GROUP BY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IBM Plex Mono" w:cs="IBM Plex Mono" w:eastAsia="IBM Plex Mono" w:hAnsi="IBM Plex Mono"/>
                <w:color w:val="B08442"/>
                <w:sz w:val="18"/>
                <w:szCs w:val="18"/>
              </w:rPr>
              <w:t xml:space="preserve">PERCENTILE_CONT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31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More boilerplate than an ORM.</w:t>
            </w:r>
          </w:p>
        </w:tc>
      </w:tr>
      <w:tr>
        <w:tc>
          <w:tcPr>
            <w:tcW w:type="dxa" w:w="3120"/>
            <w:shd w:fill="F4F2E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Server-side pagination + SQL aggregation</w:t>
            </w:r>
          </w:p>
        </w:tc>
        <w:tc>
          <w:tcPr>
            <w:tcW w:type="dxa" w:w="3120"/>
            <w:shd w:fill="F4F2E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10k rows must never hit the client; aggregates computed in Postgres.</w:t>
            </w:r>
          </w:p>
        </w:tc>
        <w:tc>
          <w:tcPr>
            <w:tcW w:type="dxa" w:w="3120"/>
            <w:shd w:fill="F4F2E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Slightly chattier API.</w:t>
            </w:r>
          </w:p>
        </w:tc>
      </w:tr>
      <w:tr>
        <w:tc>
          <w:tcPr>
            <w:tcW w:type="dxa" w:w="31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JWT single-role auth</w:t>
            </w:r>
          </w:p>
        </w:tc>
        <w:tc>
          <w:tcPr>
            <w:tcW w:type="dxa" w:w="31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Matches the single-persona scope.</w:t>
            </w:r>
          </w:p>
        </w:tc>
        <w:tc>
          <w:tcPr>
            <w:tcW w:type="dxa" w:w="31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 extensible to RBAC without work (intentional — see requirements).</w:t>
            </w:r>
          </w:p>
        </w:tc>
      </w:tr>
      <w:tr>
        <w:tc>
          <w:tcPr>
            <w:tcW w:type="dxa" w:w="3120"/>
            <w:shd w:fill="F4F2E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Vite + React + MUI</w:t>
            </w:r>
          </w:p>
        </w:tc>
        <w:tc>
          <w:tcPr>
            <w:tcW w:type="dxa" w:w="3120"/>
            <w:shd w:fill="F4F2E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Fast dev server; MUI DataGrid handles large tables + server pagination well; batteries-included components let us focus on product.</w:t>
            </w:r>
          </w:p>
        </w:tc>
        <w:tc>
          <w:tcPr>
            <w:tcW w:type="dxa" w:w="3120"/>
            <w:shd w:fill="F4F2E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MUI opinionated styling.</w:t>
            </w:r>
          </w:p>
        </w:tc>
      </w:tr>
      <w:tr>
        <w:tc>
          <w:tcPr>
            <w:tcW w:type="dxa" w:w="31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Median via </w:t>
            </w:r>
            <w:r>
              <w:rPr>
                <w:rFonts w:ascii="IBM Plex Mono" w:cs="IBM Plex Mono" w:eastAsia="IBM Plex Mono" w:hAnsi="IBM Plex Mono"/>
                <w:color w:val="B08442"/>
                <w:sz w:val="18"/>
                <w:szCs w:val="18"/>
              </w:rPr>
              <w:t xml:space="preserve">PERCENTILE_CONT</w:t>
            </w:r>
          </w:p>
        </w:tc>
        <w:tc>
          <w:tcPr>
            <w:tcW w:type="dxa" w:w="31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Correct median in-database, not an approximation.</w:t>
            </w:r>
          </w:p>
        </w:tc>
        <w:tc>
          <w:tcPr>
            <w:tcW w:type="dxa" w:w="31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Postgres-specific (acceptable — Postgres is the chosen DB).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color w:val="1F3A34"/>
        </w:rPr>
        <w:t xml:space="preserve">Performance considerations at 10k scale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 endpoint returns max 100 rows/page; total count via a single </w:t>
      </w:r>
      <w:r>
        <w:rPr>
          <w:rFonts w:ascii="IBM Plex Mono" w:cs="IBM Plex Mono" w:eastAsia="IBM Plex Mono" w:hAnsi="IBM Plex Mono"/>
          <w:color w:val="B08442"/>
        </w:rPr>
        <w:t xml:space="preserve">COUNT(*)</w:t>
      </w:r>
      <w:r>
        <w:t xml:space="preserve"> with the same filter.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Analytics endpoints do one pass of </w:t>
      </w:r>
      <w:r>
        <w:rPr>
          <w:rFonts w:ascii="IBM Plex Mono" w:cs="IBM Plex Mono" w:eastAsia="IBM Plex Mono" w:hAnsi="IBM Plex Mono"/>
          <w:color w:val="B08442"/>
        </w:rPr>
        <w:t xml:space="preserve">GROUP BY</w:t>
      </w:r>
      <w:r>
        <w:t xml:space="preserve"> with partial indexes; all sub-second on 10k rows.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Seed uses batched multi-row </w:t>
      </w:r>
      <w:r>
        <w:rPr>
          <w:rFonts w:ascii="IBM Plex Mono" w:cs="IBM Plex Mono" w:eastAsia="IBM Plex Mono" w:hAnsi="IBM Plex Mono"/>
          <w:color w:val="B08442"/>
        </w:rPr>
        <w:t xml:space="preserve">INSERT</w:t>
      </w:r>
      <w:r>
        <w:t xml:space="preserve"> (500/batch) inside a transaction — full 10k seed in a few seconds.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Connection pooling via </w:t>
      </w:r>
      <w:r>
        <w:rPr>
          <w:rFonts w:ascii="IBM Plex Mono" w:cs="IBM Plex Mono" w:eastAsia="IBM Plex Mono" w:hAnsi="IBM Plex Mono"/>
          <w:color w:val="B08442"/>
        </w:rPr>
        <w:t xml:space="preserve">pg.Pool</w:t>
      </w:r>
      <w:r>
        <w:t xml:space="preserve">.</w:t>
      </w:r>
    </w:p>
    <w:p>
      <w:pPr>
        <w:pStyle w:val="Heading2"/>
        <w:spacing w:after="120" w:before="240"/>
      </w:pPr>
      <w:r>
        <w:rPr>
          <w:color w:val="1F3A34"/>
        </w:rPr>
        <w:t xml:space="preserve">Testing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Unit tests (fast, deterministic, no DB):</w:t>
      </w:r>
      <w:r>
        <w:t xml:space="preserve"> analytics math (avg/median/distribution), currency conversion, input validation, salary-change rules. These are the "core functionality" the brief asks for and run in &lt;1s.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Logic is deliberately pure so tests need no fixtures, no network, no clock.</w:t>
      </w:r>
    </w:p>
    <w:p>
      <w:pPr>
        <w:pStyle w:val="Heading2"/>
        <w:spacing w:after="120" w:before="240"/>
      </w:pPr>
      <w:r>
        <w:rPr>
          <w:color w:val="1F3A34"/>
        </w:rPr>
        <w:t xml:space="preserve">Security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SQL parameterized (no string interpolation) → no SQL injection.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Passwords hashed with bcrypt.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JWT signed with server secret; expiry enforced.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CORS locked to the frontend origin.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E1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rPr>
      <w:rFonts w:ascii="Georgia" w:cs="Georgia" w:eastAsia="Georgia" w:hAnsi="Georgia"/>
      <w:b/>
      <w:bCs/>
      <w:color w:val="1F3A34"/>
      <w:sz w:val="36"/>
      <w:szCs w:val="36"/>
    </w:rPr>
  </w:style>
  <w:style w:type="paragraph" w:styleId="Heading2">
    <w:name w:val="Heading 2"/>
    <w:rPr>
      <w:rFonts w:ascii="Georgia" w:cs="Georgia" w:eastAsia="Georgia" w:hAnsi="Georgia"/>
      <w:b/>
      <w:bCs/>
      <w:color w:val="1F3A34"/>
      <w:sz w:val="28"/>
      <w:szCs w:val="28"/>
    </w:rPr>
  </w:style>
  <w:style w:type="paragraph" w:styleId="Heading3">
    <w:name w:val="Heading 3"/>
    <w:rPr>
      <w:rFonts w:ascii="Georgia" w:cs="Georgia" w:eastAsia="Georgia" w:hAnsi="Georgia"/>
      <w:b/>
      <w:bCs/>
      <w:color w:val="1F3A34"/>
      <w:sz w:val="23"/>
      <w:szCs w:val="23"/>
    </w:rPr>
  </w:style>
  <w:style w:type="paragraph" w:styleId="Heading4">
    <w:name w:val="Heading 4"/>
    <w:rPr>
      <w:rFonts w:ascii="Calibri" w:cs="Calibri" w:eastAsia="Calibri" w:hAnsi="Calibri"/>
      <w:b/>
      <w:bCs/>
      <w:color w:val="B08442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2026-07-03T10:43:12.805Z</dcterms:created>
  <dcterms:modified xsi:type="dcterms:W3CDTF">2026-07-03T10:43:12.805Z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