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CVR GNANA SAI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Chittoor, Andhra Pradesh, India  |  +91 7702137930  |  gnanasaicvr@gmail.com  |  LeetCode: CVR_sai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864" w:sz="6" w:space="2"/>
        </w:pBdr>
        <w:spacing w:after="6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Computer Science Engineering student graduating in 2027 with a strong foundation in Java, Python, SQL, and DBMS. Experienced in developing academic and personal projects using programming and database concepts. A quick learner with strong problem-solving, teamwork, adaptability, and time-management skills, eager to apply technical knowledge to real-world challenges.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Bachelor of Technology (B.Tech), Computer Science Engineering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	2027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SASTRA University  |  CGPA: 8.20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Intermediate (MPC)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	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Sri Vivekanandha Junior College  |  Percentage: 98.1%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Secondary School Certificate (SSC)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	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LittleFlower English Medium High School  |  Percentage: 99.5%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Languages: Java, Python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Databases: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Java Technologies: JDBC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Core Concepts: Object-Oriented Programming (OOP), Database Management Systems (DBMS)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Soft Skills: Adaptability, Quick Learner, Time Management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Flood Prediction System – Personal Project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machine learning model to predict floods using historical rainfall and water-level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Preprocessed data by handling missing values, normalizing features, and performing feature selection to improve model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Trained and compared multiple machine learning models using Scikit-learn and selected the best-performing model based on accuracy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 and Technologies: Python, Pandas, Scikit-learn</w:t>
      </w:r>
    </w:p>
    <w:p>
      <w:pPr>
        <w:tabs>
          <w:tab w:val="right" w:pos="9360"/>
        </w:tabs>
        <w:spacing w:after="6" w:before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Placement Assistant using RAG and Local LLMs – Personal Project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AI-powered Placement Assistant using Flowise, Ollama, and Llama 3 with Retrieval-Augmented Generation (RAG) to analyze resumes, perform semantic search, and generate context-aware responses from uploaded PDF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Resume Analysis, Skill Gap Detection, Placement Readiness Scoring, and Personalized Interview Question Generation using vector embeddings and locally hosted LLMs.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Cricket, SASTRA University: Represented the SASTRA University Cricket Team in inter-collegiate cricket competitions, demonstrating teamwork, discipline, and the ability to perform under pressure.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color w:val="333333"/>
          <w:sz w:val="21"/>
          <w:szCs w:val="21"/>
        </w:rPr>
        <w:t xml:space="preserve">English, Telugu, Tamil</w:t>
      </w:r>
    </w:p>
    <w:sectPr>
      <w:pgSz w:w="12240" w:h="15840" w:orient="portrait"/>
      <w:pgMar w:top="400" w:right="900" w:bottom="4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14d0ddc7124125f2ee7324f0d568aff939177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2026-09-08T13:40:22.344Z</dcterms:created>
  <dcterms:modified xsi:type="dcterms:W3CDTF">2026-09-08T13:40:22.357Z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