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BAECF" w14:textId="77777777" w:rsidR="000B38F1" w:rsidRDefault="000B38F1" w:rsidP="000B38F1">
      <w:pPr>
        <w:pStyle w:val="Title"/>
        <w:jc w:val="center"/>
      </w:pPr>
      <w:r>
        <w:t>China Semiconductor Industry</w:t>
      </w:r>
    </w:p>
    <w:p w14:paraId="4EBDF5CB" w14:textId="77777777" w:rsidR="000B38F1" w:rsidRDefault="000B38F1" w:rsidP="000B38F1">
      <w:pPr>
        <w:jc w:val="center"/>
      </w:pPr>
      <w:r>
        <w:t>Industry trends, growth drivers, implications and risk assessment</w:t>
      </w:r>
    </w:p>
    <w:p w14:paraId="688B483B" w14:textId="77777777" w:rsidR="000B38F1" w:rsidRDefault="000B38F1" w:rsidP="000B38F1">
      <w:pPr>
        <w:jc w:val="center"/>
      </w:pPr>
      <w:r>
        <w:t>Prepared for: GlobalData Associate Analyst Assignment | Data: October 2026</w:t>
      </w:r>
    </w:p>
    <w:p w14:paraId="425EF752" w14:textId="77777777" w:rsidR="000B38F1" w:rsidRDefault="000B38F1" w:rsidP="000B38F1">
      <w:pPr>
        <w:pStyle w:val="Heading1"/>
      </w:pPr>
      <w:r>
        <w:t>1. Executive Summary</w:t>
      </w:r>
    </w:p>
    <w:p w14:paraId="5042D03E" w14:textId="77777777" w:rsidR="000B38F1" w:rsidRDefault="000B38F1" w:rsidP="000B38F1">
      <w:r>
        <w:t>China is a strategically important semiconductor market, supported by demand from electronics manufacturing, data-centre infrastructure, artificial intelligence (AI), communications, automotive electronics and industrial applications. The market is also being reshaped by efforts to localize chip design and manufacturing and by restrictions on access to advanced chips and semiconductor manufacturing equipment.</w:t>
      </w:r>
    </w:p>
    <w:p w14:paraId="2E3BB0FE" w14:textId="77777777" w:rsidR="000B38F1" w:rsidRDefault="000B38F1" w:rsidP="000B38F1">
      <w:r>
        <w:t>For the annual market comparison in the accompanying workbook, the SIA/WSTS regional series reports China sales of $151 billion in 2024 and global semiconductor sales of $630.5 billion. SIA reported global sales of $791.7 billion in 2025 and 17.3% annual growth for China. Applying that growth rate to the rounded $151 billion China base gives an indicative 2025 estimate of approximately $177.1 billion; this is a calculation, not a directly reported China market value. [S02]</w:t>
      </w:r>
    </w:p>
    <w:p w14:paraId="4301CB47" w14:textId="77777777" w:rsidR="000B38F1" w:rsidRDefault="000B38F1" w:rsidP="000B38F1">
      <w:r>
        <w:t>The central conclusion is that China's semiconductor opportunity is growing, but progress is uneven across the value chain. Domestic capability and mature-node production are strategic priorities, while advanced AI chips, leading-edge manufacturing equipment and parts of the design-tool ecosystem remain exposed to technology and geopolitical constraints.</w:t>
      </w:r>
    </w:p>
    <w:p w14:paraId="36E035D0" w14:textId="77777777" w:rsidR="000B38F1" w:rsidRDefault="000B38F1" w:rsidP="000B38F1">
      <w:pPr>
        <w:pStyle w:val="Heading1"/>
      </w:pPr>
      <w:r>
        <w:t>2. Market Context and Measurement</w:t>
      </w:r>
    </w:p>
    <w:p w14:paraId="527D504B" w14:textId="77777777" w:rsidR="000B38F1" w:rsidRDefault="000B38F1" w:rsidP="000B38F1">
      <w:r>
        <w:t>The SIA Factbook's regional-market series measures semiconductor sales to electronic-equipment makers in China. It does not measure only chips made by Chinese-owned companies, nor is it the same as domestic chip production, imports, or final consumption of electronic products. These measures should not be mixed in a single time series. [S01]</w:t>
      </w:r>
    </w:p>
    <w:p w14:paraId="2C7E1E05" w14:textId="77777777" w:rsidR="000B38F1" w:rsidRDefault="000B38F1" w:rsidP="000B38F1">
      <w:r>
        <w:t>The Factbook reports global 2024 product-segment sales led by logic ($215.8 billion) and memory ($165.5 billion), followed by analog ($79.6 billion), MPU ($54.2 billion), optoelectronics ($41.1 billion), discrete devices ($31.0 billion), MCU ($21.8 billion), sensors ($18.9 billion) and DSP ($2.7 billion). These are global segment figures; the supplied Factbook does not provide a directly comparable China-only breakdown for every listed segment.</w:t>
      </w:r>
    </w:p>
    <w:p w14:paraId="7D52784F" w14:textId="77777777" w:rsidR="000B38F1" w:rsidRDefault="000B38F1" w:rsidP="000B38F1">
      <w:pPr>
        <w:pStyle w:val="Heading1"/>
      </w:pPr>
      <w:r>
        <w:t>3. Trends Shaping China's Semiconductor Industry</w:t>
      </w:r>
    </w:p>
    <w:p w14:paraId="5FDE6E60" w14:textId="77777777" w:rsidR="000B38F1" w:rsidRDefault="000B38F1" w:rsidP="000B38F1">
      <w:pPr>
        <w:pStyle w:val="Heading2"/>
      </w:pPr>
      <w:r>
        <w:t>3.1 AI and data-centre demand</w:t>
      </w:r>
    </w:p>
    <w:p w14:paraId="733D467E" w14:textId="77777777" w:rsidR="000B38F1" w:rsidRDefault="000B38F1" w:rsidP="000B38F1">
      <w:r>
        <w:t>AI training and inference require high-performance processors, memory, networking and advanced packaging. WSTS identified logic and memory [S02, S04] as the main drivers of global semiconductor growth in 2025, with demand linked to data centres and AI-related computing. For China, this creates an opportunity for domestic AI accelerators, server components, memory and supporting infrastructure. However, strong demand does not automatically translate into equivalent domestic supply: performance, software ecosystems, manufacturing yields and access to advanced equipment can constrain adoption.</w:t>
      </w:r>
    </w:p>
    <w:p w14:paraId="10C64603" w14:textId="77777777" w:rsidR="000B38F1" w:rsidRDefault="000B38F1" w:rsidP="000B38F1">
      <w:r>
        <w:t>Implications: suppliers serving data centres and AI systems may see attractive demand, but market forecasts should distinguish actual sales from projected demand and domestic production capacity.</w:t>
      </w:r>
    </w:p>
    <w:p w14:paraId="2178ACD8" w14:textId="77777777" w:rsidR="000B38F1" w:rsidRDefault="000B38F1" w:rsidP="000B38F1">
      <w:pPr>
        <w:pStyle w:val="Heading2"/>
      </w:pPr>
      <w:r>
        <w:lastRenderedPageBreak/>
        <w:t>3.2 Localization and supply-chain resilience</w:t>
      </w:r>
    </w:p>
    <w:p w14:paraId="2D8BA673" w14:textId="77777777" w:rsidR="000B38F1" w:rsidRDefault="000B38F1" w:rsidP="000B38F1">
      <w:r>
        <w:t>Export controls and supply-chain uncertainty have increased the strategic importance of developing domestic chip-design, manufacturing, equipment and materials capabilities. CSIS's March 2026 analysis [S05] argues that allied controls have accelerated China's localization drive. Localization can create opportunities for domestic suppliers and encourage customers to qualify alternative vendors, but replacing a mature global ecosystem requires sustained R&amp;D, manufacturing experience and customer trust.</w:t>
      </w:r>
    </w:p>
    <w:p w14:paraId="617D444B" w14:textId="77777777" w:rsidR="000B38F1" w:rsidRDefault="000B38F1" w:rsidP="000B38F1">
      <w:r>
        <w:t>Implications: monitor domestic design wins, equipment qualification, foundry utilization, yield improvements and customer adoption rather than relying on policy announcements or investment totals alone.</w:t>
      </w:r>
    </w:p>
    <w:p w14:paraId="1DB1EC22" w14:textId="77777777" w:rsidR="000B38F1" w:rsidRDefault="000B38F1" w:rsidP="000B38F1">
      <w:pPr>
        <w:pStyle w:val="Heading2"/>
      </w:pPr>
      <w:r>
        <w:t>3.3 Export controls and geopolitical fragmentation</w:t>
      </w:r>
    </w:p>
    <w:p w14:paraId="4DBC83A1" w14:textId="77777777" w:rsidR="000B38F1" w:rsidRDefault="000B38F1" w:rsidP="000B38F1">
      <w:r>
        <w:t>Restrictions affecting advanced computing chips and semiconductor manufacturing equipment can limit access to leading-edge technology and increase compliance complexity for multinational firms. They can also encourage substitution and the development of parallel technology ecosystems. Policy changes may affect product availability, customer eligibility, investment decisions and cross-border supply-chain planning.</w:t>
      </w:r>
    </w:p>
    <w:p w14:paraId="5412A8EE" w14:textId="77777777" w:rsidR="000B38F1" w:rsidRDefault="000B38F1" w:rsidP="000B38F1">
      <w:r>
        <w:t>Implications: companies need active export-control monitoring, careful customer and end-use screening, scenario planning and diversified sourcing. Analysts should date-stamp policy evidence because rules can change.</w:t>
      </w:r>
    </w:p>
    <w:p w14:paraId="6AE78C73" w14:textId="77777777" w:rsidR="000B38F1" w:rsidRDefault="000B38F1" w:rsidP="000B38F1">
      <w:pPr>
        <w:pStyle w:val="Heading2"/>
      </w:pPr>
      <w:r>
        <w:t>3.4 Mature-node capacity and established chip categories</w:t>
      </w:r>
    </w:p>
    <w:p w14:paraId="5003F763" w14:textId="77777777" w:rsidR="000B38F1" w:rsidRDefault="000B38F1" w:rsidP="000B38F1">
      <w:r>
        <w:t>Mature-node semiconductors remain important for automotive, industrial, power-management, connectivity and consumer-electronics applications. Expanding mature-node capacity may improve supply availability and support domestic substitution. The risk is that capacity additions can outpace demand, intensify price competition and reduce utilization or profitability. Mature-node expansion should therefore be evaluated by technology type, customer qualification, utilization and end-market demand.</w:t>
      </w:r>
    </w:p>
    <w:p w14:paraId="4336621D" w14:textId="77777777" w:rsidR="000B38F1" w:rsidRDefault="000B38F1" w:rsidP="000B38F1">
      <w:pPr>
        <w:pStyle w:val="Heading2"/>
      </w:pPr>
      <w:r>
        <w:t>3.5 Global demand cycles and segment concentration</w:t>
      </w:r>
    </w:p>
    <w:p w14:paraId="185EC183" w14:textId="77777777" w:rsidR="000B38F1" w:rsidRDefault="000B38F1" w:rsidP="000B38F1">
      <w:r>
        <w:t>Semiconductor sales are cyclical: inventory adjustments, consumer-electronics demand, capital expenditure and pricing can produce sharp annual changes. At the same time, recent global growth has been concentrated in logic, memory and AI-related computing. A market-wide growth rate can therefore conceal weakness in individual product categories. Segment-level tracking is necessary to avoid treating all semiconductor products as one uniform market.</w:t>
      </w:r>
    </w:p>
    <w:p w14:paraId="0632834E" w14:textId="77777777" w:rsidR="000B38F1" w:rsidRDefault="000B38F1" w:rsidP="000B38F1">
      <w:pPr>
        <w:pStyle w:val="Heading1"/>
      </w:pPr>
      <w:r>
        <w:t>4. Growth Drivers</w:t>
      </w:r>
    </w:p>
    <w:p w14:paraId="5AE3EA1A" w14:textId="77777777" w:rsidR="000B38F1" w:rsidRDefault="000B38F1" w:rsidP="000B38F1">
      <w:pPr>
        <w:pStyle w:val="ListBullet"/>
      </w:pPr>
      <w:r>
        <w:t>AI and data-centre investment, which increases demand for logic, memory, networking and power-management components.</w:t>
      </w:r>
    </w:p>
    <w:p w14:paraId="7498CC12" w14:textId="77777777" w:rsidR="000B38F1" w:rsidRDefault="000B38F1" w:rsidP="000B38F1">
      <w:pPr>
        <w:pStyle w:val="ListBullet"/>
      </w:pPr>
      <w:r>
        <w:t>Electronics manufacturing and consumer-device demand, including PCs, smartphones, communications equipment and connected devices.</w:t>
      </w:r>
    </w:p>
    <w:p w14:paraId="24D9CC92" w14:textId="77777777" w:rsidR="000B38F1" w:rsidRDefault="000B38F1" w:rsidP="000B38F1">
      <w:pPr>
        <w:pStyle w:val="ListBullet"/>
      </w:pPr>
      <w:r>
        <w:t>Automotive electrification and electronic content, including power semiconductors, microcontrollers, sensors and connectivity.</w:t>
      </w:r>
    </w:p>
    <w:p w14:paraId="5289C498" w14:textId="77777777" w:rsidR="000B38F1" w:rsidRDefault="000B38F1" w:rsidP="000B38F1">
      <w:pPr>
        <w:pStyle w:val="ListBullet"/>
      </w:pPr>
      <w:r>
        <w:t>Domestic substitution and supply-chain resilience initiatives, which can support local suppliers where products meet performance and reliability requirements.</w:t>
      </w:r>
    </w:p>
    <w:p w14:paraId="0A47E6F8" w14:textId="77777777" w:rsidR="000B38F1" w:rsidRDefault="000B38F1" w:rsidP="000B38F1">
      <w:pPr>
        <w:pStyle w:val="ListBullet"/>
      </w:pPr>
      <w:r>
        <w:t>Industrial automation, communications infrastructure and other applications that require reliable chips across a range of process nodes.</w:t>
      </w:r>
    </w:p>
    <w:p w14:paraId="03747337" w14:textId="77777777" w:rsidR="000B38F1" w:rsidRDefault="000B38F1" w:rsidP="000B38F1">
      <w:pPr>
        <w:pStyle w:val="Heading1"/>
      </w:pPr>
      <w:r>
        <w:t>5. Implications for Industry Participants</w:t>
      </w:r>
    </w:p>
    <w:p w14:paraId="2574C486" w14:textId="77777777" w:rsidR="000B38F1" w:rsidRDefault="000B38F1" w:rsidP="000B38F1">
      <w:pPr>
        <w:pStyle w:val="ListBullet"/>
      </w:pPr>
      <w:r>
        <w:t>Chip designers: opportunities in AI accelerators, specialized processors and application-specific devices, balanced against software, performance and ecosystem challenges.</w:t>
      </w:r>
    </w:p>
    <w:p w14:paraId="0BA3FD5C" w14:textId="77777777" w:rsidR="000B38F1" w:rsidRDefault="000B38F1" w:rsidP="000B38F1">
      <w:pPr>
        <w:pStyle w:val="ListBullet"/>
      </w:pPr>
      <w:r>
        <w:lastRenderedPageBreak/>
        <w:t>Foundries and manufacturers: evaluate node-specific demand, yield, utilization, customer qualification, equipment access and capital intensity.</w:t>
      </w:r>
    </w:p>
    <w:p w14:paraId="2D3B5A23" w14:textId="77777777" w:rsidR="000B38F1" w:rsidRDefault="000B38F1" w:rsidP="000B38F1">
      <w:pPr>
        <w:pStyle w:val="ListBullet"/>
      </w:pPr>
      <w:r>
        <w:t>Equipment and materials suppliers: assess regulatory exposure, local qualification requirements and the pace at which domestic alternatives become commercially viable.</w:t>
      </w:r>
    </w:p>
    <w:p w14:paraId="58FDAE88" w14:textId="77777777" w:rsidR="000B38F1" w:rsidRDefault="000B38F1" w:rsidP="000B38F1">
      <w:pPr>
        <w:pStyle w:val="ListBullet"/>
      </w:pPr>
      <w:r>
        <w:t>Multinational companies: maintain export-control compliance, scenario planning and supply-chain resilience while reassessing product and customer exposure.</w:t>
      </w:r>
    </w:p>
    <w:p w14:paraId="171D6BA1" w14:textId="77777777" w:rsidR="000B38F1" w:rsidRDefault="000B38F1" w:rsidP="000B38F1">
      <w:pPr>
        <w:pStyle w:val="ListBullet"/>
      </w:pPr>
      <w:r>
        <w:t>Investors and market analysts: separate announced capacity from operational capacity, and separate domestic production from regional sales or consumption.</w:t>
      </w:r>
    </w:p>
    <w:p w14:paraId="5EB6B942" w14:textId="77777777" w:rsidR="000B38F1" w:rsidRDefault="000B38F1" w:rsidP="000B38F1">
      <w:pPr>
        <w:pStyle w:val="Heading1"/>
      </w:pPr>
      <w:r>
        <w:t>6. Risk Assessment</w:t>
      </w:r>
    </w:p>
    <w:tbl>
      <w:tblPr>
        <w:tblStyle w:val="TableGrid"/>
        <w:tblW w:w="0" w:type="auto"/>
        <w:jc w:val="center"/>
        <w:tblLook w:val="04A0" w:firstRow="1" w:lastRow="0" w:firstColumn="1" w:lastColumn="0" w:noHBand="0" w:noVBand="1"/>
      </w:tblPr>
      <w:tblGrid>
        <w:gridCol w:w="2484"/>
        <w:gridCol w:w="2484"/>
        <w:gridCol w:w="2484"/>
        <w:gridCol w:w="2484"/>
      </w:tblGrid>
      <w:tr w:rsidR="000B38F1" w14:paraId="545CFBD0" w14:textId="77777777" w:rsidTr="00D53EE5">
        <w:trPr>
          <w:jc w:val="center"/>
        </w:trPr>
        <w:tc>
          <w:tcPr>
            <w:tcW w:w="2484" w:type="dxa"/>
          </w:tcPr>
          <w:p w14:paraId="22EDF48B" w14:textId="77777777" w:rsidR="000B38F1" w:rsidRDefault="000B38F1" w:rsidP="00D53EE5">
            <w:r>
              <w:rPr>
                <w:sz w:val="17"/>
              </w:rPr>
              <w:t>Risk</w:t>
            </w:r>
          </w:p>
        </w:tc>
        <w:tc>
          <w:tcPr>
            <w:tcW w:w="2484" w:type="dxa"/>
          </w:tcPr>
          <w:p w14:paraId="1DCB2AA0" w14:textId="77777777" w:rsidR="000B38F1" w:rsidRDefault="000B38F1" w:rsidP="00D53EE5">
            <w:r>
              <w:rPr>
                <w:sz w:val="17"/>
              </w:rPr>
              <w:t>Likelihood</w:t>
            </w:r>
          </w:p>
        </w:tc>
        <w:tc>
          <w:tcPr>
            <w:tcW w:w="2484" w:type="dxa"/>
          </w:tcPr>
          <w:p w14:paraId="162F0376" w14:textId="77777777" w:rsidR="000B38F1" w:rsidRDefault="000B38F1" w:rsidP="00D53EE5">
            <w:r>
              <w:rPr>
                <w:sz w:val="17"/>
              </w:rPr>
              <w:t>Impact</w:t>
            </w:r>
          </w:p>
        </w:tc>
        <w:tc>
          <w:tcPr>
            <w:tcW w:w="2484" w:type="dxa"/>
          </w:tcPr>
          <w:p w14:paraId="24A47659" w14:textId="77777777" w:rsidR="000B38F1" w:rsidRDefault="000B38F1" w:rsidP="00D53EE5">
            <w:r>
              <w:rPr>
                <w:sz w:val="17"/>
              </w:rPr>
              <w:t>Assessment / monitoring indicators</w:t>
            </w:r>
          </w:p>
        </w:tc>
      </w:tr>
      <w:tr w:rsidR="000B38F1" w14:paraId="51F45BA9" w14:textId="77777777" w:rsidTr="00D53EE5">
        <w:trPr>
          <w:jc w:val="center"/>
        </w:trPr>
        <w:tc>
          <w:tcPr>
            <w:tcW w:w="2484" w:type="dxa"/>
          </w:tcPr>
          <w:p w14:paraId="0E353F58" w14:textId="77777777" w:rsidR="000B38F1" w:rsidRDefault="000B38F1" w:rsidP="00D53EE5">
            <w:r>
              <w:rPr>
                <w:sz w:val="17"/>
              </w:rPr>
              <w:t>Export controls and geopolitical restrictions</w:t>
            </w:r>
          </w:p>
        </w:tc>
        <w:tc>
          <w:tcPr>
            <w:tcW w:w="2484" w:type="dxa"/>
          </w:tcPr>
          <w:p w14:paraId="2BCBD236" w14:textId="77777777" w:rsidR="000B38F1" w:rsidRDefault="000B38F1" w:rsidP="00D53EE5">
            <w:r>
              <w:rPr>
                <w:sz w:val="17"/>
              </w:rPr>
              <w:t>High</w:t>
            </w:r>
          </w:p>
        </w:tc>
        <w:tc>
          <w:tcPr>
            <w:tcW w:w="2484" w:type="dxa"/>
          </w:tcPr>
          <w:p w14:paraId="454C20C8" w14:textId="77777777" w:rsidR="000B38F1" w:rsidRDefault="000B38F1" w:rsidP="00D53EE5">
            <w:r>
              <w:rPr>
                <w:sz w:val="17"/>
              </w:rPr>
              <w:t>High</w:t>
            </w:r>
          </w:p>
        </w:tc>
        <w:tc>
          <w:tcPr>
            <w:tcW w:w="2484" w:type="dxa"/>
          </w:tcPr>
          <w:p w14:paraId="14927738" w14:textId="77777777" w:rsidR="000B38F1" w:rsidRDefault="000B38F1" w:rsidP="00D53EE5">
            <w:r>
              <w:rPr>
                <w:sz w:val="17"/>
              </w:rPr>
              <w:t>Rule changes, licensing decisions, restricted entities, equipment access and product availability.</w:t>
            </w:r>
          </w:p>
        </w:tc>
      </w:tr>
      <w:tr w:rsidR="000B38F1" w14:paraId="253DB075" w14:textId="77777777" w:rsidTr="00D53EE5">
        <w:trPr>
          <w:jc w:val="center"/>
        </w:trPr>
        <w:tc>
          <w:tcPr>
            <w:tcW w:w="2484" w:type="dxa"/>
          </w:tcPr>
          <w:p w14:paraId="266D44B4" w14:textId="77777777" w:rsidR="000B38F1" w:rsidRDefault="000B38F1" w:rsidP="00D53EE5">
            <w:r>
              <w:rPr>
                <w:sz w:val="17"/>
              </w:rPr>
              <w:t>Technology and equipment bottlenecks</w:t>
            </w:r>
          </w:p>
        </w:tc>
        <w:tc>
          <w:tcPr>
            <w:tcW w:w="2484" w:type="dxa"/>
          </w:tcPr>
          <w:p w14:paraId="48F16CDB" w14:textId="77777777" w:rsidR="000B38F1" w:rsidRDefault="000B38F1" w:rsidP="00D53EE5">
            <w:r>
              <w:rPr>
                <w:sz w:val="17"/>
              </w:rPr>
              <w:t>High</w:t>
            </w:r>
          </w:p>
        </w:tc>
        <w:tc>
          <w:tcPr>
            <w:tcW w:w="2484" w:type="dxa"/>
          </w:tcPr>
          <w:p w14:paraId="70E9E1A0" w14:textId="77777777" w:rsidR="000B38F1" w:rsidRDefault="000B38F1" w:rsidP="00D53EE5">
            <w:r>
              <w:rPr>
                <w:sz w:val="17"/>
              </w:rPr>
              <w:t>High</w:t>
            </w:r>
          </w:p>
        </w:tc>
        <w:tc>
          <w:tcPr>
            <w:tcW w:w="2484" w:type="dxa"/>
          </w:tcPr>
          <w:p w14:paraId="5781AFAF" w14:textId="77777777" w:rsidR="000B38F1" w:rsidRDefault="000B38F1" w:rsidP="00D53EE5">
            <w:r>
              <w:rPr>
                <w:sz w:val="17"/>
              </w:rPr>
              <w:t>Access to advanced lithography, EDA tools, high-bandwidth memory, yields and performance gaps.</w:t>
            </w:r>
          </w:p>
        </w:tc>
      </w:tr>
      <w:tr w:rsidR="000B38F1" w14:paraId="0937E29B" w14:textId="77777777" w:rsidTr="00D53EE5">
        <w:trPr>
          <w:jc w:val="center"/>
        </w:trPr>
        <w:tc>
          <w:tcPr>
            <w:tcW w:w="2484" w:type="dxa"/>
          </w:tcPr>
          <w:p w14:paraId="4AA730DA" w14:textId="77777777" w:rsidR="000B38F1" w:rsidRDefault="000B38F1" w:rsidP="00D53EE5">
            <w:r>
              <w:rPr>
                <w:sz w:val="17"/>
              </w:rPr>
              <w:t>Overcapacity and price pressure in selected segments</w:t>
            </w:r>
          </w:p>
        </w:tc>
        <w:tc>
          <w:tcPr>
            <w:tcW w:w="2484" w:type="dxa"/>
          </w:tcPr>
          <w:p w14:paraId="0B09E574" w14:textId="77777777" w:rsidR="000B38F1" w:rsidRDefault="000B38F1" w:rsidP="00D53EE5">
            <w:r>
              <w:rPr>
                <w:sz w:val="17"/>
              </w:rPr>
              <w:t>Medium–High</w:t>
            </w:r>
          </w:p>
        </w:tc>
        <w:tc>
          <w:tcPr>
            <w:tcW w:w="2484" w:type="dxa"/>
          </w:tcPr>
          <w:p w14:paraId="15B446D8" w14:textId="77777777" w:rsidR="000B38F1" w:rsidRDefault="000B38F1" w:rsidP="00D53EE5">
            <w:r>
              <w:rPr>
                <w:sz w:val="17"/>
              </w:rPr>
              <w:t>High</w:t>
            </w:r>
          </w:p>
        </w:tc>
        <w:tc>
          <w:tcPr>
            <w:tcW w:w="2484" w:type="dxa"/>
          </w:tcPr>
          <w:p w14:paraId="400E8CAF" w14:textId="77777777" w:rsidR="000B38F1" w:rsidRDefault="000B38F1" w:rsidP="00D53EE5">
            <w:r>
              <w:rPr>
                <w:sz w:val="17"/>
              </w:rPr>
              <w:t>Fab utilization, wafer prices, inventory, capacity announcements versus actual output, and customer demand.</w:t>
            </w:r>
          </w:p>
        </w:tc>
      </w:tr>
      <w:tr w:rsidR="000B38F1" w14:paraId="41B3C123" w14:textId="77777777" w:rsidTr="00D53EE5">
        <w:trPr>
          <w:jc w:val="center"/>
        </w:trPr>
        <w:tc>
          <w:tcPr>
            <w:tcW w:w="2484" w:type="dxa"/>
          </w:tcPr>
          <w:p w14:paraId="3FFCFD4B" w14:textId="77777777" w:rsidR="000B38F1" w:rsidRDefault="000B38F1" w:rsidP="00D53EE5">
            <w:r>
              <w:rPr>
                <w:sz w:val="17"/>
              </w:rPr>
              <w:t>Semiconductor demand cyclicality</w:t>
            </w:r>
          </w:p>
        </w:tc>
        <w:tc>
          <w:tcPr>
            <w:tcW w:w="2484" w:type="dxa"/>
          </w:tcPr>
          <w:p w14:paraId="678E0DCB" w14:textId="77777777" w:rsidR="000B38F1" w:rsidRDefault="000B38F1" w:rsidP="00D53EE5">
            <w:r>
              <w:rPr>
                <w:sz w:val="17"/>
              </w:rPr>
              <w:t>High</w:t>
            </w:r>
          </w:p>
        </w:tc>
        <w:tc>
          <w:tcPr>
            <w:tcW w:w="2484" w:type="dxa"/>
          </w:tcPr>
          <w:p w14:paraId="4FB425FF" w14:textId="77777777" w:rsidR="000B38F1" w:rsidRDefault="000B38F1" w:rsidP="00D53EE5">
            <w:r>
              <w:rPr>
                <w:sz w:val="17"/>
              </w:rPr>
              <w:t>Medium–High</w:t>
            </w:r>
          </w:p>
        </w:tc>
        <w:tc>
          <w:tcPr>
            <w:tcW w:w="2484" w:type="dxa"/>
          </w:tcPr>
          <w:p w14:paraId="4D228E23" w14:textId="77777777" w:rsidR="000B38F1" w:rsidRDefault="000B38F1" w:rsidP="00D53EE5">
            <w:r>
              <w:rPr>
                <w:sz w:val="17"/>
              </w:rPr>
              <w:t>Inventory levels, consumer electronics sales, capital spending and quarterly order trends.</w:t>
            </w:r>
          </w:p>
        </w:tc>
      </w:tr>
      <w:tr w:rsidR="000B38F1" w14:paraId="7A79A742" w14:textId="77777777" w:rsidTr="00D53EE5">
        <w:trPr>
          <w:jc w:val="center"/>
        </w:trPr>
        <w:tc>
          <w:tcPr>
            <w:tcW w:w="2484" w:type="dxa"/>
          </w:tcPr>
          <w:p w14:paraId="28052F30" w14:textId="77777777" w:rsidR="000B38F1" w:rsidRDefault="000B38F1" w:rsidP="00D53EE5">
            <w:r>
              <w:rPr>
                <w:sz w:val="17"/>
              </w:rPr>
              <w:t>Capital intensity and return on investment</w:t>
            </w:r>
          </w:p>
        </w:tc>
        <w:tc>
          <w:tcPr>
            <w:tcW w:w="2484" w:type="dxa"/>
          </w:tcPr>
          <w:p w14:paraId="69F00540" w14:textId="77777777" w:rsidR="000B38F1" w:rsidRDefault="000B38F1" w:rsidP="00D53EE5">
            <w:r>
              <w:rPr>
                <w:sz w:val="17"/>
              </w:rPr>
              <w:t>Medium–High</w:t>
            </w:r>
          </w:p>
        </w:tc>
        <w:tc>
          <w:tcPr>
            <w:tcW w:w="2484" w:type="dxa"/>
          </w:tcPr>
          <w:p w14:paraId="380646A9" w14:textId="77777777" w:rsidR="000B38F1" w:rsidRDefault="000B38F1" w:rsidP="00D53EE5">
            <w:r>
              <w:rPr>
                <w:sz w:val="17"/>
              </w:rPr>
              <w:t>High</w:t>
            </w:r>
          </w:p>
        </w:tc>
        <w:tc>
          <w:tcPr>
            <w:tcW w:w="2484" w:type="dxa"/>
          </w:tcPr>
          <w:p w14:paraId="63D19623" w14:textId="77777777" w:rsidR="000B38F1" w:rsidRDefault="000B38F1" w:rsidP="00D53EE5">
            <w:r>
              <w:rPr>
                <w:sz w:val="17"/>
              </w:rPr>
              <w:t>Project costs, ramp-up timing, yield, utilization, depreciation and cash flow.</w:t>
            </w:r>
          </w:p>
        </w:tc>
      </w:tr>
      <w:tr w:rsidR="000B38F1" w14:paraId="016136CF" w14:textId="77777777" w:rsidTr="00D53EE5">
        <w:trPr>
          <w:jc w:val="center"/>
        </w:trPr>
        <w:tc>
          <w:tcPr>
            <w:tcW w:w="2484" w:type="dxa"/>
          </w:tcPr>
          <w:p w14:paraId="28129A6B" w14:textId="77777777" w:rsidR="000B38F1" w:rsidRDefault="000B38F1" w:rsidP="00D53EE5">
            <w:r>
              <w:rPr>
                <w:sz w:val="17"/>
              </w:rPr>
              <w:t>Supply-chain concentration</w:t>
            </w:r>
          </w:p>
        </w:tc>
        <w:tc>
          <w:tcPr>
            <w:tcW w:w="2484" w:type="dxa"/>
          </w:tcPr>
          <w:p w14:paraId="6CBAD60E" w14:textId="77777777" w:rsidR="000B38F1" w:rsidRDefault="000B38F1" w:rsidP="00D53EE5">
            <w:r>
              <w:rPr>
                <w:sz w:val="17"/>
              </w:rPr>
              <w:t>Medium–High</w:t>
            </w:r>
          </w:p>
        </w:tc>
        <w:tc>
          <w:tcPr>
            <w:tcW w:w="2484" w:type="dxa"/>
          </w:tcPr>
          <w:p w14:paraId="56B2D976" w14:textId="77777777" w:rsidR="000B38F1" w:rsidRDefault="000B38F1" w:rsidP="00D53EE5">
            <w:r>
              <w:rPr>
                <w:sz w:val="17"/>
              </w:rPr>
              <w:t>High</w:t>
            </w:r>
          </w:p>
        </w:tc>
        <w:tc>
          <w:tcPr>
            <w:tcW w:w="2484" w:type="dxa"/>
          </w:tcPr>
          <w:p w14:paraId="264D5FCE" w14:textId="77777777" w:rsidR="000B38F1" w:rsidRDefault="000B38F1" w:rsidP="00D53EE5">
            <w:r>
              <w:rPr>
                <w:sz w:val="17"/>
              </w:rPr>
              <w:t>Dependence on critical equipment, materials, IP, foreign suppliers and qualified alternatives.</w:t>
            </w:r>
          </w:p>
        </w:tc>
      </w:tr>
    </w:tbl>
    <w:p w14:paraId="098055EE" w14:textId="77777777" w:rsidR="000B38F1" w:rsidRDefault="000B38F1" w:rsidP="000B38F1">
      <w:r>
        <w:t>Risk ratings are qualitative analyst judgments for this assignment, not probabilities supplied by the cited sources. They should be reviewed as policy, capacity and demand evidence changes.</w:t>
      </w:r>
    </w:p>
    <w:p w14:paraId="1B6D3DD1" w14:textId="77777777" w:rsidR="000B38F1" w:rsidRDefault="000B38F1" w:rsidP="000B38F1">
      <w:pPr>
        <w:pStyle w:val="Heading1"/>
      </w:pPr>
      <w:r>
        <w:t>7. Outlook</w:t>
      </w:r>
    </w:p>
    <w:p w14:paraId="48E93C4D" w14:textId="77777777" w:rsidR="000B38F1" w:rsidRDefault="000B38F1" w:rsidP="000B38F1">
      <w:r>
        <w:t>The outlook is one of continued strategic investment and uneven progress. AI-related demand and localization may support selected domestic suppliers, while export controls and equipment constraints are likely to remain important uncertainties. Mature-node capacity can create supply opportunities but also risks of oversupply and margin pressure. A robust outlook should track sales, production, utilization, segment mix, technology capability and policy exposure separately.</w:t>
      </w:r>
    </w:p>
    <w:p w14:paraId="36BB2F1A" w14:textId="77777777" w:rsidR="000B38F1" w:rsidRDefault="000B38F1" w:rsidP="000B38F1">
      <w:r>
        <w:t>For quantitative work, use a consistent market definition and one source vintage for the full time series. The workbook's 2025 China value is explicitly an estimate based on a rounded base; it should be replaced if a verified directly reported annual China figure using the same definition becomes available.</w:t>
      </w:r>
    </w:p>
    <w:p w14:paraId="460AC16D" w14:textId="77777777" w:rsidR="000B38F1" w:rsidRDefault="000B38F1" w:rsidP="000B38F1">
      <w:pPr>
        <w:pStyle w:val="Heading1"/>
      </w:pPr>
      <w:r>
        <w:t>8. References</w:t>
      </w:r>
    </w:p>
    <w:p w14:paraId="25AB494B" w14:textId="77777777" w:rsidR="000B38F1" w:rsidRDefault="000B38F1" w:rsidP="000B38F1">
      <w:pPr>
        <w:spacing w:after="120"/>
        <w:ind w:left="720" w:hanging="720"/>
      </w:pPr>
      <w:r>
        <w:rPr>
          <w:b/>
        </w:rPr>
        <w:t>S01</w:t>
      </w:r>
      <w:r>
        <w:tab/>
        <w:t xml:space="preserve">Semiconductor Industry Association (SIA) / World Semiconductor Trade Statistics (WSTS). 2025 SIA Factbook, Section 2: Global Market, printed pp. 8–10. PDF: </w:t>
      </w:r>
      <w:hyperlink r:id="rId6">
        <w:r>
          <w:rPr>
            <w:color w:val="0563C1"/>
            <w:u w:val="single"/>
          </w:rPr>
          <w:t>https://www.semiconductors.org/wp-content/uploads/2025/05/2025-SIA-Factbook-FINAL.pdf</w:t>
        </w:r>
      </w:hyperlink>
    </w:p>
    <w:p w14:paraId="37277BCB" w14:textId="77777777" w:rsidR="000B38F1" w:rsidRDefault="000B38F1" w:rsidP="000B38F1">
      <w:pPr>
        <w:spacing w:after="120"/>
        <w:ind w:left="720" w:hanging="720"/>
      </w:pPr>
      <w:r>
        <w:rPr>
          <w:b/>
        </w:rPr>
        <w:lastRenderedPageBreak/>
        <w:t>S02</w:t>
      </w:r>
      <w:r>
        <w:tab/>
        <w:t xml:space="preserve">Semiconductor Industry Association (SIA), 6 February 2026. Global Annual Semiconductor Sales Increase 25.6% to $791.7 Billion in 2025. </w:t>
      </w:r>
      <w:hyperlink r:id="rId7">
        <w:r>
          <w:rPr>
            <w:color w:val="0563C1"/>
            <w:u w:val="single"/>
          </w:rPr>
          <w:t>https://www.semiconductors.org/global-annual-semiconductor-sales-increase-25-6-to-791-7-billion-in-2025/</w:t>
        </w:r>
      </w:hyperlink>
    </w:p>
    <w:p w14:paraId="00C4E168" w14:textId="77777777" w:rsidR="000B38F1" w:rsidRDefault="000B38F1" w:rsidP="000B38F1">
      <w:pPr>
        <w:spacing w:after="120"/>
        <w:ind w:left="720" w:hanging="720"/>
      </w:pPr>
      <w:r>
        <w:rPr>
          <w:b/>
        </w:rPr>
        <w:t>S03</w:t>
      </w:r>
      <w:r>
        <w:tab/>
        <w:t xml:space="preserve">SIA / WSTS, December 2025 monthly regional sales table and graph. The uploaded table is retained as the evidence backup; SIA annual release page: </w:t>
      </w:r>
      <w:hyperlink r:id="rId8">
        <w:r>
          <w:rPr>
            <w:color w:val="0563C1"/>
            <w:u w:val="single"/>
          </w:rPr>
          <w:t>https://www.semiconductors.org/global-annual-semiconductor-sales-increase-25-6-to-791-7-billion-in-2025/</w:t>
        </w:r>
      </w:hyperlink>
    </w:p>
    <w:p w14:paraId="1C081146" w14:textId="77777777" w:rsidR="000B38F1" w:rsidRDefault="000B38F1" w:rsidP="000B38F1">
      <w:pPr>
        <w:spacing w:after="120"/>
        <w:ind w:left="720" w:hanging="720"/>
      </w:pPr>
      <w:r>
        <w:rPr>
          <w:b/>
        </w:rPr>
        <w:t>S04</w:t>
      </w:r>
      <w:r>
        <w:tab/>
        <w:t xml:space="preserve">World Semiconductor Trade Statistics (WSTS), 6 March 2026. Global Semiconductor Market grows 26% in 2025 to $796B. </w:t>
      </w:r>
      <w:hyperlink r:id="rId9">
        <w:r>
          <w:rPr>
            <w:color w:val="0563C1"/>
            <w:u w:val="single"/>
          </w:rPr>
          <w:t>https://www.wsts.org/76/103/Global-Semiconductor-Market-grows-26-in-2025-to-796B</w:t>
        </w:r>
      </w:hyperlink>
    </w:p>
    <w:p w14:paraId="7C8B70A3" w14:textId="77777777" w:rsidR="000B38F1" w:rsidRDefault="000B38F1" w:rsidP="000B38F1">
      <w:pPr>
        <w:spacing w:after="120"/>
        <w:ind w:left="720" w:hanging="720"/>
      </w:pPr>
      <w:r>
        <w:rPr>
          <w:b/>
        </w:rPr>
        <w:t>S05</w:t>
      </w:r>
      <w:r>
        <w:tab/>
        <w:t xml:space="preserve">Center for Strategic and International Studies (CSIS), 24 March 2026. China’s Localization Drive in Semiconductors Gains Impetus from Allied Chip Export Controls. </w:t>
      </w:r>
      <w:hyperlink r:id="rId10">
        <w:r>
          <w:rPr>
            <w:color w:val="0563C1"/>
            <w:u w:val="single"/>
          </w:rPr>
          <w:t>https://www.csis.org/analysis/chinas-localization-drive-semiconductors-gains-impetus-allied-chip-export-controls</w:t>
        </w:r>
      </w:hyperlink>
    </w:p>
    <w:p w14:paraId="0C6D0A20" w14:textId="77777777" w:rsidR="000B38F1" w:rsidRDefault="000B38F1" w:rsidP="000B38F1">
      <w:pPr>
        <w:spacing w:after="120"/>
        <w:ind w:left="720" w:hanging="720"/>
      </w:pPr>
      <w:r>
        <w:rPr>
          <w:b/>
        </w:rPr>
        <w:t>S06</w:t>
      </w:r>
      <w:r>
        <w:tab/>
        <w:t xml:space="preserve">Central European Institute of Asian Studies (CEIAS), 11 June 2026. Where China’s AI chip supply chain stands in 2026. </w:t>
      </w:r>
      <w:hyperlink r:id="rId11">
        <w:r>
          <w:rPr>
            <w:color w:val="0563C1"/>
            <w:u w:val="single"/>
          </w:rPr>
          <w:t>https://ceias.eu/where-chinas-ai-chip-supply-chain-stands-in-2026/</w:t>
        </w:r>
      </w:hyperlink>
    </w:p>
    <w:p w14:paraId="4E2A34E2" w14:textId="77777777" w:rsidR="000B38F1" w:rsidRDefault="000B38F1" w:rsidP="000B38F1">
      <w:pPr>
        <w:spacing w:after="120"/>
        <w:ind w:left="720" w:hanging="720"/>
      </w:pPr>
      <w:r>
        <w:rPr>
          <w:b/>
        </w:rPr>
        <w:t>S07</w:t>
      </w:r>
      <w:r>
        <w:tab/>
        <w:t xml:space="preserve">Omdia, 5 December 2025. 2026 Trends to Watch: Semiconductors. </w:t>
      </w:r>
      <w:hyperlink r:id="rId12">
        <w:r>
          <w:rPr>
            <w:color w:val="0563C1"/>
            <w:u w:val="single"/>
          </w:rPr>
          <w:t>https://omdia.tech.informa.com/om143049/2026-trends-to-watch-semiconductors</w:t>
        </w:r>
      </w:hyperlink>
    </w:p>
    <w:p w14:paraId="443B91FA" w14:textId="77777777" w:rsidR="000B38F1" w:rsidRDefault="000B38F1" w:rsidP="000B38F1">
      <w:pPr>
        <w:pStyle w:val="Heading1"/>
      </w:pPr>
      <w:r>
        <w:t>Methodology and Limitations</w:t>
      </w:r>
    </w:p>
    <w:p w14:paraId="3C5BEF6C" w14:textId="77777777" w:rsidR="000B38F1" w:rsidRDefault="000B38F1" w:rsidP="000B38F1">
      <w:r>
        <w:t>Market figures are presented in USD billions. The annual China regional sales series is not equivalent to semiconductor production by Chinese companies or the value of chips consumed in final electronic products. The 2025 China estimate is calculated as $151.0bn × (1 + 17.3%) = approximately $177.1bn, using a rounded 2024 base and SIA-reported China growth. The supplied Factbook's segment data are global. December 2025 figures are monthly three-month moving averages. The SIA 2025 global total ($791.7bn) and WSTS release total ($795.6bn) differ by release/version; the workbook keeps SIA as the main series and documents the alternative instead of mixing the two. The 17.3% China growth rate comes from SIA’s annual release series, while the $151bn base comes from the Factbook regional chart; because the two series may differ in definition, the 2025 value is indicative only.</w:t>
      </w:r>
    </w:p>
    <w:p w14:paraId="3A4FEFB3" w14:textId="04BE09D4" w:rsidR="004242BF" w:rsidRPr="000B38F1" w:rsidRDefault="004242BF" w:rsidP="000B38F1"/>
    <w:sectPr w:rsidR="004242BF" w:rsidRPr="000B38F1" w:rsidSect="000B38F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966081">
    <w:abstractNumId w:val="8"/>
  </w:num>
  <w:num w:numId="2" w16cid:durableId="1769306004">
    <w:abstractNumId w:val="6"/>
  </w:num>
  <w:num w:numId="3" w16cid:durableId="1427729749">
    <w:abstractNumId w:val="5"/>
  </w:num>
  <w:num w:numId="4" w16cid:durableId="638534200">
    <w:abstractNumId w:val="4"/>
  </w:num>
  <w:num w:numId="5" w16cid:durableId="268239041">
    <w:abstractNumId w:val="7"/>
  </w:num>
  <w:num w:numId="6" w16cid:durableId="616565402">
    <w:abstractNumId w:val="3"/>
  </w:num>
  <w:num w:numId="7" w16cid:durableId="1329095719">
    <w:abstractNumId w:val="2"/>
  </w:num>
  <w:num w:numId="8" w16cid:durableId="330723025">
    <w:abstractNumId w:val="1"/>
  </w:num>
  <w:num w:numId="9" w16cid:durableId="200589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C7"/>
    <w:rsid w:val="00034616"/>
    <w:rsid w:val="0006063C"/>
    <w:rsid w:val="000B38F1"/>
    <w:rsid w:val="000E4518"/>
    <w:rsid w:val="0015074B"/>
    <w:rsid w:val="00273AD9"/>
    <w:rsid w:val="0029639D"/>
    <w:rsid w:val="0030058D"/>
    <w:rsid w:val="003029C1"/>
    <w:rsid w:val="00326F90"/>
    <w:rsid w:val="004242BF"/>
    <w:rsid w:val="005B308A"/>
    <w:rsid w:val="005B3749"/>
    <w:rsid w:val="00757D58"/>
    <w:rsid w:val="008C4D9D"/>
    <w:rsid w:val="00A30977"/>
    <w:rsid w:val="00AA1D8D"/>
    <w:rsid w:val="00AB790F"/>
    <w:rsid w:val="00AC2EC2"/>
    <w:rsid w:val="00B47730"/>
    <w:rsid w:val="00CB0664"/>
    <w:rsid w:val="00E700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C7093"/>
  <w14:defaultImageDpi w14:val="300"/>
  <w15:docId w15:val="{3EC702DF-8712-4229-814F-59E75ADE7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B38F1"/>
    <w:rPr>
      <w:color w:val="0000FF" w:themeColor="hyperlink"/>
      <w:u w:val="single"/>
    </w:rPr>
  </w:style>
  <w:style w:type="character" w:styleId="UnresolvedMention">
    <w:name w:val="Unresolved Mention"/>
    <w:basedOn w:val="DefaultParagraphFont"/>
    <w:uiPriority w:val="99"/>
    <w:semiHidden/>
    <w:unhideWhenUsed/>
    <w:rsid w:val="000B3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miconductors.org/global-annual-semiconductor-sales-increase-25-6-to-791-7-billion-in-202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emiconductors.org/global-annual-semiconductor-sales-increase-25-6-to-791-7-billion-in-2025/" TargetMode="External"/><Relationship Id="rId12" Type="http://schemas.openxmlformats.org/officeDocument/2006/relationships/hyperlink" Target="https://omdia.tech.informa.com/om143049/2026-trends-to-watch-semiconducto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emiconductors.org/wp-content/uploads/2025/05/2025-SIA-Factbook-FINAL.pdf" TargetMode="External"/><Relationship Id="rId11" Type="http://schemas.openxmlformats.org/officeDocument/2006/relationships/hyperlink" Target="https://ceias.eu/where-chinas-ai-chip-supply-chain-stands-in-2026/" TargetMode="External"/><Relationship Id="rId5" Type="http://schemas.openxmlformats.org/officeDocument/2006/relationships/webSettings" Target="webSettings.xml"/><Relationship Id="rId10" Type="http://schemas.openxmlformats.org/officeDocument/2006/relationships/hyperlink" Target="https://www.csis.org/analysis/chinas-localization-drive-semiconductors-gains-impetus-allied-chip-export-controls" TargetMode="External"/><Relationship Id="rId4" Type="http://schemas.openxmlformats.org/officeDocument/2006/relationships/settings" Target="settings.xml"/><Relationship Id="rId9" Type="http://schemas.openxmlformats.org/officeDocument/2006/relationships/hyperlink" Target="https://www.wsts.org/76/103/Global-Semiconductor-Market-grows-26-in-2025-to-796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Gnaneshwari Mahimaluru</cp:lastModifiedBy>
  <cp:revision>12</cp:revision>
  <dcterms:created xsi:type="dcterms:W3CDTF">2013-12-23T23:15:00Z</dcterms:created>
  <dcterms:modified xsi:type="dcterms:W3CDTF">2026-10-15T06:51:00Z</dcterms:modified>
  <cp:category/>
</cp:coreProperties>
</file>