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p>
      <w:pPr>
        <w:spacing w:after="80" w:before="0"/>
        <w:jc w:val="center"/>
      </w:pPr>
      <w:r>
        <w:rPr>
          <w:rFonts w:ascii="Arial" w:cs="Arial" w:eastAsia="Arial" w:hAnsi="Arial"/>
          <w:b/>
          <w:bCs/>
          <w:color w:val="0B1E35"/>
          <w:sz w:val="76"/>
          <w:szCs w:val="76"/>
        </w:rPr>
        <w:t xml:space="preserve">DELIVERY INTELLIGENCE / BUILDOS AI</w:t>
      </w:r>
    </w:p>
    <w:p>
      <w:pPr>
        <w:spacing w:after="260" w:before="0"/>
        <w:jc w:val="center"/>
      </w:pPr>
      <w:r>
        <w:rPr>
          <w:rFonts w:ascii="Arial" w:cs="Arial" w:eastAsia="Arial" w:hAnsi="Arial"/>
          <w:i/>
          <w:iCs/>
          <w:color w:val="1565C0"/>
          <w:sz w:val="28"/>
          <w:szCs w:val="28"/>
        </w:rPr>
        <w:t xml:space="preserve">AI-Native Product Delivery Operating System</w:t>
      </w:r>
    </w:p>
    <w:p>
      <w:pPr>
        <w:pBdr>
          <w:bottom w:val="single" w:color="1565C0" w:sz="14" w:space="6"/>
        </w:pBdr>
        <w:spacing w:after="260" w:before="0"/>
        <w:jc w:val="center"/>
      </w:pPr>
      <w:r>
        <w:t xml:space="preserve"/>
      </w:r>
    </w:p>
    <w:p>
      <w:pPr>
        <w:spacing w:after="80" w:before="0"/>
        <w:jc w:val="center"/>
      </w:pPr>
      <w:r>
        <w:rPr>
          <w:rFonts w:ascii="Arial" w:cs="Arial" w:eastAsia="Arial" w:hAnsi="Arial"/>
          <w:b/>
          <w:bCs/>
          <w:color w:val="888888"/>
          <w:sz w:val="24"/>
          <w:szCs w:val="24"/>
        </w:rPr>
        <w:t xml:space="preserve">DOCUMENT 4 OF 4</w:t>
      </w:r>
    </w:p>
    <w:p>
      <w:pPr>
        <w:spacing w:after="100" w:before="0"/>
        <w:jc w:val="center"/>
      </w:pPr>
      <w:r>
        <w:rPr>
          <w:rFonts w:ascii="Arial" w:cs="Arial" w:eastAsia="Arial" w:hAnsi="Arial"/>
          <w:b/>
          <w:bCs/>
          <w:color w:val="0B1E35"/>
          <w:sz w:val="38"/>
          <w:szCs w:val="38"/>
        </w:rPr>
        <w:t xml:space="preserve">Go-to-Market &amp; Business Strategy</w:t>
      </w:r>
    </w:p>
    <w:p>
      <w:pPr>
        <w:spacing w:after="420" w:before="0"/>
        <w:jc w:val="center"/>
      </w:pPr>
      <w:r>
        <w:rPr>
          <w:rFonts w:ascii="Arial" w:cs="Arial" w:eastAsia="Arial" w:hAnsi="Arial"/>
          <w:i/>
          <w:iCs/>
          <w:color w:val="555555"/>
          <w:sz w:val="22"/>
          <w:szCs w:val="22"/>
        </w:rPr>
        <w:t xml:space="preserve">Pricing · Personas · GTM plan · Metrics · Investment thesis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Version</w:t>
            </w:r>
          </w:p>
        </w:tc>
        <w:tc>
          <w:tcPr>
            <w:tcW w:type="dxa" w:w="4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1.0 — April 2026</w:t>
            </w:r>
          </w:p>
        </w:tc>
      </w:tr>
      <w:tr>
        <w:tc>
          <w:tcPr>
            <w:tcW w:type="dxa" w:w="2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Product</w:t>
            </w:r>
          </w:p>
        </w:tc>
        <w:tc>
          <w:tcPr>
            <w:tcW w:type="dxa" w:w="4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Delivery Intelligence / BuildOS AI</w:t>
            </w:r>
          </w:p>
        </w:tc>
      </w:tr>
      <w:tr>
        <w:tc>
          <w:tcPr>
            <w:tcW w:type="dxa" w:w="2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Status</w:t>
            </w:r>
          </w:p>
        </w:tc>
        <w:tc>
          <w:tcPr>
            <w:tcW w:type="dxa" w:w="4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Approved for Engineering</w:t>
            </w:r>
          </w:p>
        </w:tc>
      </w:tr>
      <w:tr>
        <w:tc>
          <w:tcPr>
            <w:tcW w:type="dxa" w:w="2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Stack</w:t>
            </w:r>
          </w:p>
        </w:tc>
        <w:tc>
          <w:tcPr>
            <w:tcW w:type="dxa" w:w="4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Next.js 15 · Supabase · Claude API · Vercel</w:t>
            </w:r>
          </w:p>
        </w:tc>
      </w:tr>
    </w:tbl>
    <w:p>
      <w:pPr>
        <w:spacing w:after="240" w:before="0"/>
      </w:pPr>
      <w:r>
        <w:t xml:space="preserve"/>
      </w:r>
    </w:p>
    <w:p>
      <w:r>
        <w:br w:type="page"/>
      </w:r>
    </w:p>
    <w:p>
      <w:pPr>
        <w:pStyle w:val="Heading1"/>
        <w:pBdr>
          <w:bottom w:val="single" w:color="1565C0" w:sz="10" w:space="4"/>
        </w:pBdr>
        <w:spacing w:after="200" w:before="400"/>
      </w:pPr>
      <w:r>
        <w:rPr>
          <w:rFonts w:ascii="Arial" w:cs="Arial" w:eastAsia="Arial" w:hAnsi="Arial"/>
          <w:b/>
          <w:bCs/>
          <w:color w:val="0B1E35"/>
          <w:sz w:val="38"/>
          <w:szCs w:val="38"/>
        </w:rPr>
        <w:t xml:space="preserve">1. Positioning — Owning a New Category</w:t>
      </w:r>
    </w:p>
    <w:p>
      <w:pPr>
        <w:spacing w:after="100" w:before="80"/>
        <w:jc w:val="both"/>
      </w:pPr>
      <w:r>
        <w:rPr>
          <w:rFonts w:ascii="Arial" w:cs="Arial" w:eastAsia="Arial" w:hAnsi="Arial"/>
          <w:sz w:val="22"/>
          <w:szCs w:val="22"/>
        </w:rPr>
        <w:t xml:space="preserve">Delivery Intelligence does not compete on features with Jira or Notion. It defines a new category — Execution Intelligence — and positions as the first platform to own 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FD8DC" w:sz="1"/>
              <w:left w:val="single" w:color="CFD8DC" w:sz="1"/>
              <w:bottom w:val="single" w:color="CFD8DC" w:sz="1"/>
              <w:right w:val="single" w:color="CFD8DC" w:sz="1"/>
            </w:tcBorders>
            <w:shd w:fill="1565C0" w:val="clear"/>
            <w:tcMar>
              <w:top w:type="dxa" w:w="90"/>
              <w:left w:type="dxa" w:w="100"/>
              <w:bottom w:type="dxa" w:w="90"/>
              <w:right w:type="dxa" w:w="100"/>
            </w:tcMar>
          </w:tcPr>
          <w:p>
            <w:pPr>
              <w:jc w:val="center"/>
            </w:pPr>
            <w:r>
              <w:rPr>
                <w:rFonts w:ascii="Arial" w:cs="Arial" w:eastAsia="Arial" w:hAnsi="Arial"/>
                <w:b/>
                <w:bCs/>
                <w:color w:val="FFFFFF"/>
                <w:sz w:val="17"/>
                <w:szCs w:val="17"/>
              </w:rPr>
              <w:t xml:space="preserve">#1565C0</w:t>
            </w:r>
          </w:p>
        </w:tc>
        <w:tc>
          <w:tcPr>
            <w:tcW w:type="dxa" w:w="8260"/>
            <w:tcBorders>
              <w:top w:val="single" w:color="CFD8DC" w:sz="1"/>
              <w:left w:val="single" w:color="CFD8DC" w:sz="1"/>
              <w:bottom w:val="single" w:color="CFD8DC" w:sz="1"/>
              <w:right w:val="single" w:color="CFD8DC" w:sz="1"/>
            </w:tcBorders>
            <w:shd w:fill="E3F2FD" w:val="clear"/>
            <w:tcMar>
              <w:top w:type="dxa" w:w="90"/>
              <w:left w:type="dxa" w:w="140"/>
              <w:bottom w:type="dxa" w:w="90"/>
              <w:right w:type="dxa" w:w="120"/>
            </w:tcMar>
          </w:tcPr>
          <w:p>
            <w:r>
              <w:rPr>
                <w:rFonts w:ascii="Arial" w:cs="Arial" w:eastAsia="Arial" w:hAnsi="Arial"/>
                <w:sz w:val="20"/>
                <w:szCs w:val="20"/>
              </w:rPr>
              <w:t xml:space="preserve">Category name: Execution Intelligence Platform. Definition: An AI-native platform that connects the upstream strategy layer (charter, PRD, requirements) to the downstream execution layer (code, tests, docs) with full real-time traceability — across all three delivery roles simultaneously.</w:t>
            </w:r>
          </w:p>
        </w:tc>
      </w:tr>
    </w:tbl>
    <w:p>
      <w:pPr>
        <w:spacing w:after="60" w:before="0"/>
      </w:pPr>
      <w:r>
        <w:t xml:space="preserve"/>
      </w:r>
    </w:p>
    <w:p>
      <w:pPr>
        <w:pStyle w:val="Heading2"/>
        <w:spacing w:after="140" w:before="300"/>
      </w:pPr>
      <w:r>
        <w:rPr>
          <w:rFonts w:ascii="Arial" w:cs="Arial" w:eastAsia="Arial" w:hAnsi="Arial"/>
          <w:b/>
          <w:bCs/>
          <w:color w:val="1565C0"/>
          <w:sz w:val="30"/>
          <w:szCs w:val="30"/>
        </w:rPr>
        <w:t xml:space="preserve">1.1 Primary Positioning Statement</w:t>
      </w:r>
    </w:p>
    <w:p>
      <w:pPr>
        <w:pBdr>
          <w:top w:val="single" w:color="1565C0" w:sz="4" w:space="4"/>
          <w:bottom w:val="single" w:color="1565C0" w:sz="4" w:space="4"/>
        </w:pBdr>
        <w:spacing w:after="200" w:before="200"/>
        <w:jc w:val="center"/>
      </w:pPr>
      <w:r>
        <w:rPr>
          <w:rFonts w:ascii="Arial" w:cs="Arial" w:eastAsia="Arial" w:hAnsi="Arial"/>
          <w:b/>
          <w:bCs/>
          <w:i/>
          <w:iCs/>
          <w:color w:val="0B1E35"/>
          <w:sz w:val="26"/>
          <w:szCs w:val="26"/>
        </w:rPr>
        <w:t xml:space="preserve">"The only AI platform that connects your idea to your code — with every requirement, story, decision, and risk traceable back to the charter that started it all."</w:t>
      </w:r>
    </w:p>
    <w:p>
      <w:pPr>
        <w:spacing w:after="60" w:before="0"/>
      </w:pPr>
      <w:r>
        <w:t xml:space="preserve"/>
      </w:r>
    </w:p>
    <w:p>
      <w:pPr>
        <w:pStyle w:val="Heading2"/>
        <w:spacing w:after="140" w:before="300"/>
      </w:pPr>
      <w:r>
        <w:rPr>
          <w:rFonts w:ascii="Arial" w:cs="Arial" w:eastAsia="Arial" w:hAnsi="Arial"/>
          <w:b/>
          <w:bCs/>
          <w:color w:val="1565C0"/>
          <w:sz w:val="30"/>
          <w:szCs w:val="30"/>
        </w:rPr>
        <w:t xml:space="preserve">1.2 Secondary Positioning by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Buyer type</w:t>
            </w:r>
          </w:p>
        </w:tc>
        <w:tc>
          <w:tcPr>
            <w:tcW w:type="dxa" w:w="34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Message</w:t>
            </w:r>
          </w:p>
        </w:tc>
        <w:tc>
          <w:tcPr>
            <w:tcW w:type="dxa" w:w="376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Hook</w:t>
            </w:r>
          </w:p>
        </w:tc>
      </w:tr>
      <w:tr>
        <w:tc>
          <w:tcPr>
            <w:tcW w:type="dxa" w:w="2200"/>
            <w:tcBorders>
              <w:top w:val="single" w:color="CFD8DC" w:sz="1"/>
              <w:left w:val="single" w:color="CFD8DC" w:sz="1"/>
              <w:bottom w:val="single" w:color="CFD8DC" w:sz="1"/>
              <w:right w:val="single" w:color="CFD8DC" w:sz="1"/>
            </w:tcBorders>
            <w:shd w:fill="E3F2FD" w:val="clear"/>
            <w:tcMar>
              <w:top w:type="dxa" w:w="90"/>
              <w:left w:type="dxa" w:w="130"/>
              <w:bottom w:type="dxa" w:w="90"/>
              <w:right w:type="dxa" w:w="130"/>
            </w:tcMar>
          </w:tcPr>
          <w:p>
            <w:r>
              <w:rPr>
                <w:rFonts w:ascii="Arial" w:cs="Arial" w:eastAsia="Arial" w:hAnsi="Arial"/>
                <w:b/>
                <w:bCs/>
                <w:color w:val="212121"/>
                <w:sz w:val="20"/>
                <w:szCs w:val="20"/>
              </w:rPr>
              <w:t xml:space="preserve">Product Manager</w:t>
            </w:r>
          </w:p>
        </w:tc>
        <w:tc>
          <w:tcPr>
            <w:tcW w:type="dxa" w:w="3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Your charter should govern every meeting — not just describe the kick-off</w:t>
            </w:r>
          </w:p>
        </w:tc>
        <w:tc>
          <w:tcPr>
            <w:tcW w:type="dxa" w:w="3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Alignment score tells you in one number if you're still building the right thing</w:t>
            </w:r>
          </w:p>
        </w:tc>
      </w:tr>
      <w:tr>
        <w:tc>
          <w:tcPr>
            <w:tcW w:type="dxa" w:w="2200"/>
            <w:tcBorders>
              <w:top w:val="single" w:color="CFD8DC" w:sz="1"/>
              <w:left w:val="single" w:color="CFD8DC" w:sz="1"/>
              <w:bottom w:val="single" w:color="CFD8DC" w:sz="1"/>
              <w:right w:val="single" w:color="CFD8DC" w:sz="1"/>
            </w:tcBorders>
            <w:shd w:fill="E0F2F1" w:val="clear"/>
            <w:tcMar>
              <w:top w:type="dxa" w:w="90"/>
              <w:left w:type="dxa" w:w="130"/>
              <w:bottom w:type="dxa" w:w="90"/>
              <w:right w:type="dxa" w:w="130"/>
            </w:tcMar>
          </w:tcPr>
          <w:p>
            <w:r>
              <w:rPr>
                <w:rFonts w:ascii="Arial" w:cs="Arial" w:eastAsia="Arial" w:hAnsi="Arial"/>
                <w:b/>
                <w:bCs/>
                <w:color w:val="212121"/>
                <w:sz w:val="20"/>
                <w:szCs w:val="20"/>
              </w:rPr>
              <w:t xml:space="preserve">Project Manager</w:t>
            </w:r>
          </w:p>
        </w:tc>
        <w:tc>
          <w:tcPr>
            <w:tcW w:type="dxa" w:w="3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Stop finding out about risks after they become blockers</w:t>
            </w:r>
          </w:p>
        </w:tc>
        <w:tc>
          <w:tcPr>
            <w:tcW w:type="dxa" w:w="3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Risk heatmap builds itself from every meeting, automatically</w:t>
            </w:r>
          </w:p>
        </w:tc>
      </w:tr>
      <w:tr>
        <w:tc>
          <w:tcPr>
            <w:tcW w:type="dxa" w:w="2200"/>
            <w:tcBorders>
              <w:top w:val="single" w:color="CFD8DC" w:sz="1"/>
              <w:left w:val="single" w:color="CFD8DC" w:sz="1"/>
              <w:bottom w:val="single" w:color="CFD8DC" w:sz="1"/>
              <w:right w:val="single" w:color="CFD8DC" w:sz="1"/>
            </w:tcBorders>
            <w:shd w:fill="EDE7F6" w:val="clear"/>
            <w:tcMar>
              <w:top w:type="dxa" w:w="90"/>
              <w:left w:type="dxa" w:w="130"/>
              <w:bottom w:type="dxa" w:w="90"/>
              <w:right w:type="dxa" w:w="130"/>
            </w:tcMar>
          </w:tcPr>
          <w:p>
            <w:r>
              <w:rPr>
                <w:rFonts w:ascii="Arial" w:cs="Arial" w:eastAsia="Arial" w:hAnsi="Arial"/>
                <w:b/>
                <w:bCs/>
                <w:color w:val="212121"/>
                <w:sz w:val="20"/>
                <w:szCs w:val="20"/>
              </w:rPr>
              <w:t xml:space="preserve">Business Analyst</w:t>
            </w:r>
          </w:p>
        </w:tc>
        <w:tc>
          <w:tcPr>
            <w:tcW w:type="dxa" w:w="3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Your RTM should never need manual updating again</w:t>
            </w:r>
          </w:p>
        </w:tc>
        <w:tc>
          <w:tcPr>
            <w:tcW w:type="dxa" w:w="3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Every requirement traced from charter to code to test — live</w:t>
            </w:r>
          </w:p>
        </w:tc>
      </w:tr>
      <w:tr>
        <w:tc>
          <w:tcPr>
            <w:tcW w:type="dxa" w:w="2200"/>
            <w:tcBorders>
              <w:top w:val="single" w:color="CFD8DC" w:sz="1"/>
              <w:left w:val="single" w:color="CFD8DC" w:sz="1"/>
              <w:bottom w:val="single" w:color="CFD8DC" w:sz="1"/>
              <w:right w:val="single" w:color="CFD8DC" w:sz="1"/>
            </w:tcBorders>
            <w:shd w:fill="FFF3E0" w:val="clear"/>
            <w:tcMar>
              <w:top w:type="dxa" w:w="90"/>
              <w:left w:type="dxa" w:w="130"/>
              <w:bottom w:type="dxa" w:w="90"/>
              <w:right w:type="dxa" w:w="130"/>
            </w:tcMar>
          </w:tcPr>
          <w:p>
            <w:r>
              <w:rPr>
                <w:rFonts w:ascii="Arial" w:cs="Arial" w:eastAsia="Arial" w:hAnsi="Arial"/>
                <w:b/>
                <w:bCs/>
                <w:color w:val="212121"/>
                <w:sz w:val="20"/>
                <w:szCs w:val="20"/>
              </w:rPr>
              <w:t xml:space="preserve">CTO / VP Eng</w:t>
            </w:r>
          </w:p>
        </w:tc>
        <w:tc>
          <w:tcPr>
            <w:tcW w:type="dxa" w:w="3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Replace 7 tools. Build traceability for AI-generated code.</w:t>
            </w:r>
          </w:p>
        </w:tc>
        <w:tc>
          <w:tcPr>
            <w:tcW w:type="dxa" w:w="3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Single platform. Compliance-ready. No workflow change required.</w:t>
            </w:r>
          </w:p>
        </w:tc>
      </w:tr>
      <w:tr>
        <w:tc>
          <w:tcPr>
            <w:tcW w:type="dxa" w:w="2200"/>
            <w:tcBorders>
              <w:top w:val="single" w:color="CFD8DC" w:sz="1"/>
              <w:left w:val="single" w:color="CFD8DC" w:sz="1"/>
              <w:bottom w:val="single" w:color="CFD8DC" w:sz="1"/>
              <w:right w:val="single" w:color="CFD8DC" w:sz="1"/>
            </w:tcBorders>
            <w:shd w:fill="FBE9E7" w:val="clear"/>
            <w:tcMar>
              <w:top w:type="dxa" w:w="90"/>
              <w:left w:type="dxa" w:w="130"/>
              <w:bottom w:type="dxa" w:w="90"/>
              <w:right w:type="dxa" w:w="130"/>
            </w:tcMar>
          </w:tcPr>
          <w:p>
            <w:r>
              <w:rPr>
                <w:rFonts w:ascii="Arial" w:cs="Arial" w:eastAsia="Arial" w:hAnsi="Arial"/>
                <w:b/>
                <w:bCs/>
                <w:color w:val="212121"/>
                <w:sz w:val="20"/>
                <w:szCs w:val="20"/>
              </w:rPr>
              <w:t xml:space="preserve">Consulting PMO</w:t>
            </w:r>
          </w:p>
        </w:tc>
        <w:tc>
          <w:tcPr>
            <w:tcW w:type="dxa" w:w="3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Give every client project its own AI delivery layer</w:t>
            </w:r>
          </w:p>
        </w:tc>
        <w:tc>
          <w:tcPr>
            <w:tcW w:type="dxa" w:w="3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Per-project workspaces, client-facing reporting, white-label ready</w:t>
            </w:r>
          </w:p>
        </w:tc>
      </w:tr>
    </w:tbl>
    <w:p>
      <w:pPr>
        <w:spacing w:after="60" w:before="0"/>
      </w:pPr>
      <w:r>
        <w:t xml:space="preserve"/>
      </w:r>
    </w:p>
    <w:p>
      <w:r>
        <w:br w:type="page"/>
      </w:r>
    </w:p>
    <w:p>
      <w:pPr>
        <w:pStyle w:val="Heading1"/>
        <w:pBdr>
          <w:bottom w:val="single" w:color="1565C0" w:sz="10" w:space="4"/>
        </w:pBdr>
        <w:spacing w:after="200" w:before="400"/>
      </w:pPr>
      <w:r>
        <w:rPr>
          <w:rFonts w:ascii="Arial" w:cs="Arial" w:eastAsia="Arial" w:hAnsi="Arial"/>
          <w:b/>
          <w:bCs/>
          <w:color w:val="0B1E35"/>
          <w:sz w:val="38"/>
          <w:szCs w:val="38"/>
        </w:rPr>
        <w:t xml:space="preserve">2. Pricing Architecture</w:t>
      </w:r>
    </w:p>
    <w:p>
      <w:pPr>
        <w:pStyle w:val="Heading2"/>
        <w:spacing w:after="140" w:before="300"/>
      </w:pPr>
      <w:r>
        <w:rPr>
          <w:rFonts w:ascii="Arial" w:cs="Arial" w:eastAsia="Arial" w:hAnsi="Arial"/>
          <w:b/>
          <w:bCs/>
          <w:color w:val="1565C0"/>
          <w:sz w:val="30"/>
          <w:szCs w:val="30"/>
        </w:rPr>
        <w:t xml:space="preserve">2.1 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Plan</w:t>
            </w:r>
          </w:p>
        </w:tc>
        <w:tc>
          <w:tcPr>
            <w:tcW w:type="dxa" w:w="16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Monthly/seat</w:t>
            </w:r>
          </w:p>
        </w:tc>
        <w:tc>
          <w:tcPr>
            <w:tcW w:type="dxa" w:w="16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Annual/seat</w:t>
            </w:r>
          </w:p>
        </w:tc>
        <w:tc>
          <w:tcPr>
            <w:tcW w:type="dxa" w:w="436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Ideal customer</w:t>
            </w:r>
          </w:p>
        </w:tc>
      </w:tr>
      <w:tr>
        <w:tc>
          <w:tcPr>
            <w:tcW w:type="dxa" w:w="1800"/>
            <w:tcBorders>
              <w:top w:val="single" w:color="CFD8DC" w:sz="1"/>
              <w:left w:val="single" w:color="CFD8DC" w:sz="1"/>
              <w:bottom w:val="single" w:color="CFD8DC" w:sz="1"/>
              <w:right w:val="single" w:color="CFD8DC" w:sz="1"/>
            </w:tcBorders>
            <w:shd w:fill="E8F5E9" w:val="clear"/>
            <w:tcMar>
              <w:top w:type="dxa" w:w="90"/>
              <w:left w:type="dxa" w:w="130"/>
              <w:bottom w:type="dxa" w:w="90"/>
              <w:right w:type="dxa" w:w="130"/>
            </w:tcMar>
          </w:tcPr>
          <w:p>
            <w:r>
              <w:rPr>
                <w:rFonts w:ascii="Arial" w:cs="Arial" w:eastAsia="Arial" w:hAnsi="Arial"/>
                <w:b/>
                <w:bCs/>
                <w:color w:val="1A5200"/>
                <w:sz w:val="20"/>
                <w:szCs w:val="20"/>
              </w:rPr>
              <w:t xml:space="preserve">Starter</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Free</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Free</w:t>
            </w:r>
          </w:p>
        </w:tc>
        <w:tc>
          <w:tcPr>
            <w:tcW w:type="dxa" w:w="4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Solo PM or founder validating the concept. 1 project, 5 meetings/mo, basic extraction.</w:t>
            </w:r>
          </w:p>
        </w:tc>
      </w:tr>
      <w:tr>
        <w:tc>
          <w:tcPr>
            <w:tcW w:type="dxa" w:w="1800"/>
            <w:tcBorders>
              <w:top w:val="single" w:color="CFD8DC" w:sz="1"/>
              <w:left w:val="single" w:color="CFD8DC" w:sz="1"/>
              <w:bottom w:val="single" w:color="CFD8DC" w:sz="1"/>
              <w:right w:val="single" w:color="CFD8DC" w:sz="1"/>
            </w:tcBorders>
            <w:shd w:fill="E3F2FD" w:val="clear"/>
            <w:tcMar>
              <w:top w:type="dxa" w:w="90"/>
              <w:left w:type="dxa" w:w="130"/>
              <w:bottom w:type="dxa" w:w="90"/>
              <w:right w:type="dxa" w:w="130"/>
            </w:tcMar>
          </w:tcPr>
          <w:p>
            <w:r>
              <w:rPr>
                <w:rFonts w:ascii="Arial" w:cs="Arial" w:eastAsia="Arial" w:hAnsi="Arial"/>
                <w:b/>
                <w:bCs/>
                <w:color w:val="1565C0"/>
                <w:sz w:val="20"/>
                <w:szCs w:val="20"/>
              </w:rPr>
              <w:t xml:space="preserve">Pro</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$22/user</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$16.50/user</w:t>
            </w:r>
          </w:p>
        </w:tc>
        <w:tc>
          <w:tcPr>
            <w:tcW w:type="dxa" w:w="4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Cross-functional delivery team (5–20 people). Unlimited projects, full AI, Jira/Linear sync, voice.</w:t>
            </w:r>
          </w:p>
        </w:tc>
      </w:tr>
      <w:tr>
        <w:tc>
          <w:tcPr>
            <w:tcW w:type="dxa" w:w="1800"/>
            <w:tcBorders>
              <w:top w:val="single" w:color="CFD8DC" w:sz="1"/>
              <w:left w:val="single" w:color="CFD8DC" w:sz="1"/>
              <w:bottom w:val="single" w:color="CFD8DC" w:sz="1"/>
              <w:right w:val="single" w:color="CFD8DC" w:sz="1"/>
            </w:tcBorders>
            <w:shd w:fill="EDE7F6" w:val="clear"/>
            <w:tcMar>
              <w:top w:type="dxa" w:w="90"/>
              <w:left w:type="dxa" w:w="130"/>
              <w:bottom w:type="dxa" w:w="90"/>
              <w:right w:type="dxa" w:w="130"/>
            </w:tcMar>
          </w:tcPr>
          <w:p>
            <w:r>
              <w:rPr>
                <w:rFonts w:ascii="Arial" w:cs="Arial" w:eastAsia="Arial" w:hAnsi="Arial"/>
                <w:b/>
                <w:bCs/>
                <w:color w:val="3E27A0"/>
                <w:sz w:val="20"/>
                <w:szCs w:val="20"/>
              </w:rPr>
              <w:t xml:space="preserve">Enterprise</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$39+/user</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Custom</w:t>
            </w:r>
          </w:p>
        </w:tc>
        <w:tc>
          <w:tcPr>
            <w:tcW w:type="dxa" w:w="4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PMO, consulting firm, regulated industry. SSO, compliance exports, dedicated support, SLA.</w:t>
            </w:r>
          </w:p>
        </w:tc>
      </w:tr>
      <w:tr>
        <w:tc>
          <w:tcPr>
            <w:tcW w:type="dxa" w:w="1800"/>
            <w:tcBorders>
              <w:top w:val="single" w:color="CFD8DC" w:sz="1"/>
              <w:left w:val="single" w:color="CFD8DC" w:sz="1"/>
              <w:bottom w:val="single" w:color="CFD8DC" w:sz="1"/>
              <w:right w:val="single" w:color="CFD8DC" w:sz="1"/>
            </w:tcBorders>
            <w:shd w:fill="FFF3E0" w:val="clear"/>
            <w:tcMar>
              <w:top w:type="dxa" w:w="90"/>
              <w:left w:type="dxa" w:w="130"/>
              <w:bottom w:type="dxa" w:w="90"/>
              <w:right w:type="dxa" w:w="130"/>
            </w:tcMar>
          </w:tcPr>
          <w:p>
            <w:r>
              <w:rPr>
                <w:rFonts w:ascii="Arial" w:cs="Arial" w:eastAsia="Arial" w:hAnsi="Arial"/>
                <w:b/>
                <w:bCs/>
                <w:color w:val="BF5000"/>
                <w:sz w:val="20"/>
                <w:szCs w:val="20"/>
              </w:rPr>
              <w:t xml:space="preserve">Agency</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$299/mo flat</w:t>
            </w:r>
          </w:p>
        </w:tc>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$249/mo</w:t>
            </w:r>
          </w:p>
        </w:tc>
        <w:tc>
          <w:tcPr>
            <w:tcW w:type="dxa" w:w="4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Digital agencies running multiple client projects. Up to 10 workspaces. White-label option.</w:t>
            </w:r>
          </w:p>
        </w:tc>
      </w:tr>
    </w:tbl>
    <w:p>
      <w:pPr>
        <w:spacing w:after="60" w:before="0"/>
      </w:pPr>
      <w:r>
        <w:t xml:space="preserve"/>
      </w:r>
    </w:p>
    <w:p>
      <w:pPr>
        <w:pStyle w:val="Heading2"/>
        <w:spacing w:after="140" w:before="300"/>
      </w:pPr>
      <w:r>
        <w:rPr>
          <w:rFonts w:ascii="Arial" w:cs="Arial" w:eastAsia="Arial" w:hAnsi="Arial"/>
          <w:b/>
          <w:bCs/>
          <w:color w:val="1565C0"/>
          <w:sz w:val="30"/>
          <w:szCs w:val="30"/>
        </w:rPr>
        <w:t xml:space="preserve">2.2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960"/>
        <w:gridCol w:w="1800"/>
      </w:tblGrid>
      <w:tr>
        <w:tc>
          <w:tcPr>
            <w:tcW w:type="dxa" w:w="18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Period</w:t>
            </w:r>
          </w:p>
        </w:tc>
        <w:tc>
          <w:tcPr>
            <w:tcW w:type="dxa" w:w="18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Paying seats</w:t>
            </w:r>
          </w:p>
        </w:tc>
        <w:tc>
          <w:tcPr>
            <w:tcW w:type="dxa" w:w="20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Avg revenue/seat</w:t>
            </w:r>
          </w:p>
        </w:tc>
        <w:tc>
          <w:tcPr>
            <w:tcW w:type="dxa" w:w="196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ARR</w:t>
            </w:r>
          </w:p>
        </w:tc>
        <w:tc>
          <w:tcPr>
            <w:tcW w:type="dxa" w:w="18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Source</w:t>
            </w:r>
          </w:p>
        </w:tc>
      </w:tr>
      <w:tr>
        <w:tc>
          <w:tcPr>
            <w:tcW w:type="dxa" w:w="18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End Year 1</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500 seats</w:t>
            </w:r>
          </w:p>
        </w:tc>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$18/seat/mo</w:t>
            </w:r>
          </w:p>
        </w:tc>
        <w:tc>
          <w:tcPr>
            <w:tcW w:type="dxa" w:w="1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$108,000</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Design partners + PLG</w:t>
            </w:r>
          </w:p>
        </w:tc>
      </w:tr>
      <w:tr>
        <w:tc>
          <w:tcPr>
            <w:tcW w:type="dxa" w:w="18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End Year 2</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3,500 seats</w:t>
            </w:r>
          </w:p>
        </w:tc>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$20/seat/mo</w:t>
            </w:r>
          </w:p>
        </w:tc>
        <w:tc>
          <w:tcPr>
            <w:tcW w:type="dxa" w:w="1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$840,000</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Content + referrals</w:t>
            </w:r>
          </w:p>
        </w:tc>
      </w:tr>
      <w:tr>
        <w:tc>
          <w:tcPr>
            <w:tcW w:type="dxa" w:w="18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End Year 3</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12,000 seats</w:t>
            </w:r>
          </w:p>
        </w:tc>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$22/seat/mo</w:t>
            </w:r>
          </w:p>
        </w:tc>
        <w:tc>
          <w:tcPr>
            <w:tcW w:type="dxa" w:w="1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$3.2M</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Enterprise + agency tier</w:t>
            </w:r>
          </w:p>
        </w:tc>
      </w:tr>
    </w:tbl>
    <w:p>
      <w:pPr>
        <w:spacing w:after="60" w:before="0"/>
      </w:pPr>
      <w:r>
        <w:t xml:space="preserve"/>
      </w:r>
    </w:p>
    <w:p>
      <w:r>
        <w:br w:type="page"/>
      </w:r>
    </w:p>
    <w:p>
      <w:pPr>
        <w:pStyle w:val="Heading1"/>
        <w:pBdr>
          <w:bottom w:val="single" w:color="1565C0" w:sz="10" w:space="4"/>
        </w:pBdr>
        <w:spacing w:after="200" w:before="400"/>
      </w:pPr>
      <w:r>
        <w:rPr>
          <w:rFonts w:ascii="Arial" w:cs="Arial" w:eastAsia="Arial" w:hAnsi="Arial"/>
          <w:b/>
          <w:bCs/>
          <w:color w:val="0B1E35"/>
          <w:sz w:val="38"/>
          <w:szCs w:val="38"/>
        </w:rPr>
        <w:t xml:space="preserve">3. Go-to-Market Plan</w:t>
      </w:r>
    </w:p>
    <w:p>
      <w:pPr>
        <w:pStyle w:val="Heading2"/>
        <w:spacing w:after="140" w:before="300"/>
      </w:pPr>
      <w:r>
        <w:rPr>
          <w:rFonts w:ascii="Arial" w:cs="Arial" w:eastAsia="Arial" w:hAnsi="Arial"/>
          <w:b/>
          <w:bCs/>
          <w:color w:val="1565C0"/>
          <w:sz w:val="30"/>
          <w:szCs w:val="30"/>
        </w:rPr>
        <w:t xml:space="preserve">3.1 Phase 1 — Design Partner Programme (Weeks 10–18)</w:t>
      </w:r>
    </w:p>
    <w:p>
      <w:pPr>
        <w:spacing w:after="100" w:before="80"/>
        <w:jc w:val="both"/>
      </w:pPr>
      <w:r>
        <w:rPr>
          <w:rFonts w:ascii="Arial" w:cs="Arial" w:eastAsia="Arial" w:hAnsi="Arial"/>
          <w:sz w:val="22"/>
          <w:szCs w:val="22"/>
        </w:rPr>
        <w:t xml:space="preserve">Target 10 design partners before any paid marketing. Design partners use the product for free in exchange for weekly feedback sessions, case study rights, and a success story.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Week</w:t>
            </w:r>
          </w:p>
        </w:tc>
        <w:tc>
          <w:tcPr>
            <w:tcW w:type="dxa" w:w="30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Activity</w:t>
            </w:r>
          </w:p>
        </w:tc>
        <w:tc>
          <w:tcPr>
            <w:tcW w:type="dxa" w:w="476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Goal</w:t>
            </w:r>
          </w:p>
        </w:tc>
      </w:tr>
      <w:tr>
        <w:tc>
          <w:tcPr>
            <w:tcW w:type="dxa" w:w="16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Wk 10–11</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Outreach to 50 target PMs via LinkedIn, communities, network</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Book 10 demo calls with teams who have a real active project with a charter</w:t>
            </w:r>
          </w:p>
        </w:tc>
      </w:tr>
      <w:tr>
        <w:tc>
          <w:tcPr>
            <w:tcW w:type="dxa" w:w="16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Wk 12</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Demo calls + qualification</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Find teams with a real delivery pain point, active Jira/Linear, and a PM</w:t>
            </w:r>
          </w:p>
        </w:tc>
      </w:tr>
      <w:tr>
        <w:tc>
          <w:tcPr>
            <w:tcW w:type="dxa" w:w="16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Wk 13–14</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Onboard first 10 design partners</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Each team uploads their real charter + first meeting. See alignment score in session.</w:t>
            </w:r>
          </w:p>
        </w:tc>
      </w:tr>
      <w:tr>
        <w:tc>
          <w:tcPr>
            <w:tcW w:type="dxa" w:w="16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Wk 15–16</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Weekly feedback sessions</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Iterate on the top 3 friction points from partner feedback each week</w:t>
            </w:r>
          </w:p>
        </w:tc>
      </w:tr>
      <w:tr>
        <w:tc>
          <w:tcPr>
            <w:tcW w:type="dxa" w:w="16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Wk 17–18</w:t>
            </w:r>
          </w:p>
        </w:tc>
        <w:tc>
          <w:tcPr>
            <w:tcW w:type="dxa" w:w="3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First paid conversions</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Convert 3–5 partners to Pro plan. First ARR. First case study written.</w:t>
            </w:r>
          </w:p>
        </w:tc>
      </w:tr>
    </w:tbl>
    <w:p>
      <w:pPr>
        <w:spacing w:after="60" w:before="0"/>
      </w:pPr>
      <w:r>
        <w:t xml:space="preserve"/>
      </w:r>
    </w:p>
    <w:p>
      <w:pPr>
        <w:pStyle w:val="Heading2"/>
        <w:spacing w:after="140" w:before="300"/>
      </w:pPr>
      <w:r>
        <w:rPr>
          <w:rFonts w:ascii="Arial" w:cs="Arial" w:eastAsia="Arial" w:hAnsi="Arial"/>
          <w:b/>
          <w:bCs/>
          <w:color w:val="1565C0"/>
          <w:sz w:val="30"/>
          <w:szCs w:val="30"/>
        </w:rPr>
        <w:t xml:space="preserve">3.2 The Demo Script — Designed for the Wow Moment</w:t>
      </w:r>
    </w:p>
    <w:p>
      <w:pPr>
        <w:spacing w:after="100" w:before="80"/>
        <w:jc w:val="both"/>
      </w:pPr>
      <w:r>
        <w:rPr>
          <w:rFonts w:ascii="Arial" w:cs="Arial" w:eastAsia="Arial" w:hAnsi="Arial"/>
          <w:sz w:val="22"/>
          <w:szCs w:val="22"/>
        </w:rPr>
        <w:t xml:space="preserve">Every demo follows the same 12-minute arc:</w:t>
      </w:r>
    </w:p>
    <w:p>
      <w:pPr>
        <w:spacing w:after="60" w:before="0"/>
      </w:pPr>
      <w:r>
        <w:t xml:space="preserve"/>
      </w:r>
    </w:p>
    <w:p>
      <w:pPr>
        <w:pStyle w:val="ListParagraph"/>
        <w:numPr>
          <w:ilvl w:val="0"/>
          <w:numId w:val="2"/>
        </w:numPr>
        <w:spacing w:after="60" w:before="60"/>
      </w:pPr>
      <w:r>
        <w:rPr>
          <w:rFonts w:ascii="Arial" w:cs="Arial" w:eastAsia="Arial" w:hAnsi="Arial"/>
          <w:sz w:val="22"/>
          <w:szCs w:val="22"/>
        </w:rPr>
        <w:t xml:space="preserve">(2 min) Open with the question: 'When did you last open your project charter?' — let the pause do the work</w:t>
      </w:r>
    </w:p>
    <w:p>
      <w:pPr>
        <w:pStyle w:val="ListParagraph"/>
        <w:numPr>
          <w:ilvl w:val="0"/>
          <w:numId w:val="2"/>
        </w:numPr>
        <w:spacing w:after="60" w:before="60"/>
      </w:pPr>
      <w:r>
        <w:rPr>
          <w:rFonts w:ascii="Arial" w:cs="Arial" w:eastAsia="Arial" w:hAnsi="Arial"/>
          <w:sz w:val="22"/>
          <w:szCs w:val="22"/>
        </w:rPr>
        <w:t xml:space="preserve">(2 min) Upload their real charter (ask them to bring it). Show extraction in real time.</w:t>
      </w:r>
    </w:p>
    <w:p>
      <w:pPr>
        <w:pStyle w:val="ListParagraph"/>
        <w:numPr>
          <w:ilvl w:val="0"/>
          <w:numId w:val="2"/>
        </w:numPr>
        <w:spacing w:after="60" w:before="60"/>
      </w:pPr>
      <w:r>
        <w:rPr>
          <w:rFonts w:ascii="Arial" w:cs="Arial" w:eastAsia="Arial" w:hAnsi="Arial"/>
          <w:sz w:val="22"/>
          <w:szCs w:val="22"/>
        </w:rPr>
        <w:t xml:space="preserve">(2 min) Upload a meeting recording from last week. Show transcription and extraction.</w:t>
      </w:r>
    </w:p>
    <w:p>
      <w:pPr>
        <w:pStyle w:val="ListParagraph"/>
        <w:numPr>
          <w:ilvl w:val="0"/>
          <w:numId w:val="2"/>
        </w:numPr>
        <w:spacing w:after="60" w:before="60"/>
      </w:pPr>
      <w:r>
        <w:rPr>
          <w:rFonts w:ascii="Arial" w:cs="Arial" w:eastAsia="Arial" w:hAnsi="Arial"/>
          <w:sz w:val="22"/>
          <w:szCs w:val="22"/>
        </w:rPr>
        <w:t xml:space="preserve">(2 min) Show the dashboard — alignment score, risk heatmap, action items created automatically.</w:t>
      </w:r>
    </w:p>
    <w:p>
      <w:pPr>
        <w:pStyle w:val="ListParagraph"/>
        <w:numPr>
          <w:ilvl w:val="0"/>
          <w:numId w:val="2"/>
        </w:numPr>
        <w:spacing w:after="60" w:before="60"/>
      </w:pPr>
      <w:r>
        <w:rPr>
          <w:rFonts w:ascii="Arial" w:cs="Arial" w:eastAsia="Arial" w:hAnsi="Arial"/>
          <w:sz w:val="22"/>
          <w:szCs w:val="22"/>
        </w:rPr>
        <w:t xml:space="preserve">(2 min) Show the RTM — requirements traced to stories, stories to code.</w:t>
      </w:r>
    </w:p>
    <w:p>
      <w:pPr>
        <w:pStyle w:val="ListParagraph"/>
        <w:numPr>
          <w:ilvl w:val="0"/>
          <w:numId w:val="2"/>
        </w:numPr>
        <w:spacing w:after="60" w:before="60"/>
      </w:pPr>
      <w:r>
        <w:rPr>
          <w:rFonts w:ascii="Arial" w:cs="Arial" w:eastAsia="Arial" w:hAnsi="Arial"/>
          <w:sz w:val="22"/>
          <w:szCs w:val="22"/>
        </w:rPr>
        <w:t xml:space="preserve">(2 min) Close: 'Everything you just saw happened automatically. Your team didn't change how they work.'</w:t>
      </w:r>
    </w:p>
    <w:p>
      <w:pPr>
        <w:spacing w:after="60" w:before="0"/>
      </w:pPr>
      <w:r>
        <w:t xml:space="preserve"/>
      </w:r>
    </w:p>
    <w:p>
      <w:pPr>
        <w:pStyle w:val="Heading2"/>
        <w:spacing w:after="140" w:before="300"/>
      </w:pPr>
      <w:r>
        <w:rPr>
          <w:rFonts w:ascii="Arial" w:cs="Arial" w:eastAsia="Arial" w:hAnsi="Arial"/>
          <w:b/>
          <w:bCs/>
          <w:color w:val="1565C0"/>
          <w:sz w:val="30"/>
          <w:szCs w:val="30"/>
        </w:rPr>
        <w:t xml:space="preserve">3.3 Content Marketing — Charter-Led Narrative</w:t>
      </w:r>
    </w:p>
    <w:p>
      <w:pPr>
        <w:spacing w:after="100" w:before="80"/>
        <w:jc w:val="both"/>
      </w:pPr>
      <w:r>
        <w:rPr>
          <w:rFonts w:ascii="Arial" w:cs="Arial" w:eastAsia="Arial" w:hAnsi="Arial"/>
          <w:sz w:val="22"/>
          <w:szCs w:val="22"/>
        </w:rPr>
        <w:t xml:space="preserve">All content marketing anchors on the charter as the governing intelligence layer. This positions the product in search and in prospect conversations before sales even begins:</w:t>
      </w:r>
    </w:p>
    <w:p>
      <w:pPr>
        <w:spacing w:after="60" w:before="0"/>
      </w:pPr>
      <w:r>
        <w:t xml:space="preserve"/>
      </w:r>
    </w:p>
    <w:p>
      <w:pPr>
        <w:pStyle w:val="ListParagraph"/>
        <w:numPr>
          <w:ilvl w:val="0"/>
          <w:numId w:val="3"/>
        </w:numPr>
        <w:spacing w:after="60" w:before="60"/>
      </w:pPr>
      <w:r>
        <w:rPr>
          <w:rFonts w:ascii="Arial" w:cs="Arial" w:eastAsia="Arial" w:hAnsi="Arial"/>
          <w:sz w:val="22"/>
          <w:szCs w:val="22"/>
        </w:rPr>
        <w:t xml:space="preserve">Blog series: 'Why your project charter is failing you (and how AI fixes it)'</w:t>
      </w:r>
    </w:p>
    <w:p>
      <w:pPr>
        <w:pStyle w:val="ListParagraph"/>
        <w:numPr>
          <w:ilvl w:val="0"/>
          <w:numId w:val="3"/>
        </w:numPr>
        <w:spacing w:after="60" w:before="60"/>
      </w:pPr>
      <w:r>
        <w:rPr>
          <w:rFonts w:ascii="Arial" w:cs="Arial" w:eastAsia="Arial" w:hAnsi="Arial"/>
          <w:sz w:val="22"/>
          <w:szCs w:val="22"/>
        </w:rPr>
        <w:t xml:space="preserve">LinkedIn content: weekly 'Charter Alignment Score' case studies from design partners</w:t>
      </w:r>
    </w:p>
    <w:p>
      <w:pPr>
        <w:pStyle w:val="ListParagraph"/>
        <w:numPr>
          <w:ilvl w:val="0"/>
          <w:numId w:val="3"/>
        </w:numPr>
        <w:spacing w:after="60" w:before="60"/>
      </w:pPr>
      <w:r>
        <w:rPr>
          <w:rFonts w:ascii="Arial" w:cs="Arial" w:eastAsia="Arial" w:hAnsi="Arial"/>
          <w:sz w:val="22"/>
          <w:szCs w:val="22"/>
        </w:rPr>
        <w:t xml:space="preserve">YouTube: 15-minute demo showing raw idea → Jira backlog in one session</w:t>
      </w:r>
    </w:p>
    <w:p>
      <w:pPr>
        <w:pStyle w:val="ListParagraph"/>
        <w:numPr>
          <w:ilvl w:val="0"/>
          <w:numId w:val="3"/>
        </w:numPr>
        <w:spacing w:after="60" w:before="60"/>
      </w:pPr>
      <w:r>
        <w:rPr>
          <w:rFonts w:ascii="Arial" w:cs="Arial" w:eastAsia="Arial" w:hAnsi="Arial"/>
          <w:sz w:val="22"/>
          <w:szCs w:val="22"/>
        </w:rPr>
        <w:t xml:space="preserve">Community presence: PM/PjM communities (PMI, Agile Alliance, Mind the Product)</w:t>
      </w:r>
    </w:p>
    <w:p>
      <w:pPr>
        <w:pStyle w:val="ListParagraph"/>
        <w:numPr>
          <w:ilvl w:val="0"/>
          <w:numId w:val="3"/>
        </w:numPr>
        <w:spacing w:after="60" w:before="60"/>
      </w:pPr>
      <w:r>
        <w:rPr>
          <w:rFonts w:ascii="Arial" w:cs="Arial" w:eastAsia="Arial" w:hAnsi="Arial"/>
          <w:sz w:val="22"/>
          <w:szCs w:val="22"/>
        </w:rPr>
        <w:t xml:space="preserve">Partner webinars: with Jira, Linear, Atlassian Solution Partners</w:t>
      </w:r>
    </w:p>
    <w:p>
      <w:pPr>
        <w:spacing w:after="60" w:before="0"/>
      </w:pPr>
      <w:r>
        <w:t xml:space="preserve"/>
      </w:r>
    </w:p>
    <w:p>
      <w:r>
        <w:br w:type="page"/>
      </w:r>
    </w:p>
    <w:p>
      <w:pPr>
        <w:pStyle w:val="Heading1"/>
        <w:pBdr>
          <w:bottom w:val="single" w:color="1565C0" w:sz="10" w:space="4"/>
        </w:pBdr>
        <w:spacing w:after="200" w:before="400"/>
      </w:pPr>
      <w:r>
        <w:rPr>
          <w:rFonts w:ascii="Arial" w:cs="Arial" w:eastAsia="Arial" w:hAnsi="Arial"/>
          <w:b/>
          <w:bCs/>
          <w:color w:val="0B1E35"/>
          <w:sz w:val="38"/>
          <w:szCs w:val="38"/>
        </w:rPr>
        <w:t xml:space="preserve">4. Success Metrics — How We Know It's Working</w:t>
      </w:r>
    </w:p>
    <w:p>
      <w:pPr>
        <w:pStyle w:val="Heading2"/>
        <w:spacing w:after="140" w:before="300"/>
      </w:pPr>
      <w:r>
        <w:rPr>
          <w:rFonts w:ascii="Arial" w:cs="Arial" w:eastAsia="Arial" w:hAnsi="Arial"/>
          <w:b/>
          <w:bCs/>
          <w:color w:val="1565C0"/>
          <w:sz w:val="30"/>
          <w:szCs w:val="30"/>
        </w:rPr>
        <w:t xml:space="preserve">4.1 Product-Market Fit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Metric</w:t>
            </w:r>
          </w:p>
        </w:tc>
        <w:tc>
          <w:tcPr>
            <w:tcW w:type="dxa" w:w="240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Target (Week 18)</w:t>
            </w:r>
          </w:p>
        </w:tc>
        <w:tc>
          <w:tcPr>
            <w:tcW w:type="dxa" w:w="3960"/>
            <w:gridSpan w:val="1"/>
            <w:tcBorders>
              <w:top w:val="single" w:color="CFD8DC" w:sz="1"/>
              <w:left w:val="single" w:color="CFD8DC" w:sz="1"/>
              <w:bottom w:val="single" w:color="CFD8DC" w:sz="1"/>
              <w:right w:val="single" w:color="CFD8DC" w:sz="1"/>
            </w:tcBorders>
            <w:shd w:fill="0B1E35"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How to measure</w:t>
            </w:r>
          </w:p>
        </w:tc>
      </w:tr>
      <w:tr>
        <w:tc>
          <w:tcPr>
            <w:tcW w:type="dxa" w:w="3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Design partners active</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10 teams</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Workspaces with &gt; 3 meetings processed in last 30 days</w:t>
            </w:r>
          </w:p>
        </w:tc>
      </w:tr>
      <w:tr>
        <w:tc>
          <w:tcPr>
            <w:tcW w:type="dxa" w:w="3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Time-to-first-score</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&lt; 30 seconds</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Upload to alignment_score populated — P95 across 50 test runs</w:t>
            </w:r>
          </w:p>
        </w:tc>
      </w:tr>
      <w:tr>
        <w:tc>
          <w:tcPr>
            <w:tcW w:type="dxa" w:w="3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Extraction acceptance rate</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&gt; 85% auto-accepted</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Ratio of confidence &gt;= 0.85 items vs total extracted</w:t>
            </w:r>
          </w:p>
        </w:tc>
      </w:tr>
      <w:tr>
        <w:tc>
          <w:tcPr>
            <w:tcW w:type="dxa" w:w="3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Sessions per week per team</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&gt; 3 sessions/week</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Meetings or docs processed per workspace per week</w:t>
            </w:r>
          </w:p>
        </w:tc>
      </w:tr>
      <w:tr>
        <w:tc>
          <w:tcPr>
            <w:tcW w:type="dxa" w:w="3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Retention at 30 days</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&gt; 80%</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Workspaces still active after 30 days from onboarding</w:t>
            </w:r>
          </w:p>
        </w:tc>
      </w:tr>
      <w:tr>
        <w:tc>
          <w:tcPr>
            <w:tcW w:type="dxa" w:w="3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NPS from design partners</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&gt; 50</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Monthly Typeform survey: 'How likely to recommend?'</w:t>
            </w:r>
          </w:p>
        </w:tc>
      </w:tr>
      <w:tr>
        <w:tc>
          <w:tcPr>
            <w:tcW w:type="dxa" w:w="3000"/>
            <w:tcBorders>
              <w:top w:val="single" w:color="CFD8DC" w:sz="1"/>
              <w:left w:val="single" w:color="CFD8DC" w:sz="1"/>
              <w:bottom w:val="single" w:color="CFD8DC" w:sz="1"/>
              <w:right w:val="single" w:color="CFD8DC" w:sz="1"/>
            </w:tcBorders>
            <w:shd w:fill="F5F5F5" w:val="clear"/>
            <w:tcMar>
              <w:top w:type="dxa" w:w="90"/>
              <w:left w:type="dxa" w:w="130"/>
              <w:bottom w:type="dxa" w:w="90"/>
              <w:right w:type="dxa" w:w="130"/>
            </w:tcMar>
          </w:tcPr>
          <w:p>
            <w:r>
              <w:rPr>
                <w:rFonts w:ascii="Arial" w:cs="Arial" w:eastAsia="Arial" w:hAnsi="Arial"/>
                <w:b/>
                <w:bCs/>
                <w:color w:val="212121"/>
                <w:sz w:val="20"/>
                <w:szCs w:val="20"/>
              </w:rPr>
              <w:t xml:space="preserve">ARR at Week 18</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$15,000+</w:t>
            </w:r>
          </w:p>
        </w:tc>
        <w:tc>
          <w:tcPr>
            <w:tcW w:type="dxa" w:w="39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b w:val="false"/>
                <w:bCs w:val="false"/>
                <w:color w:val="212121"/>
                <w:sz w:val="20"/>
                <w:szCs w:val="20"/>
              </w:rPr>
              <w:t xml:space="preserve">Stripe dashboard: monthly recurring revenue × 12</w:t>
            </w:r>
          </w:p>
        </w:tc>
      </w:tr>
    </w:tbl>
    <w:p>
      <w:pPr>
        <w:spacing w:after="60" w:before="0"/>
      </w:pPr>
      <w:r>
        <w:t xml:space="preserve"/>
      </w:r>
    </w:p>
    <w:p>
      <w:pPr>
        <w:pStyle w:val="Heading1"/>
        <w:pBdr>
          <w:bottom w:val="single" w:color="1565C0" w:sz="10" w:space="4"/>
        </w:pBdr>
        <w:spacing w:after="200" w:before="400"/>
      </w:pPr>
      <w:r>
        <w:rPr>
          <w:rFonts w:ascii="Arial" w:cs="Arial" w:eastAsia="Arial" w:hAnsi="Arial"/>
          <w:b/>
          <w:bCs/>
          <w:color w:val="0B1E35"/>
          <w:sz w:val="38"/>
          <w:szCs w:val="38"/>
        </w:rPr>
        <w:t xml:space="preserve">5. Investment Thesis</w:t>
      </w:r>
    </w:p>
    <w:p>
      <w:pPr>
        <w:spacing w:after="100" w:before="80"/>
        <w:jc w:val="both"/>
      </w:pPr>
      <w:r>
        <w:rPr>
          <w:rFonts w:ascii="Arial" w:cs="Arial" w:eastAsia="Arial" w:hAnsi="Arial"/>
          <w:sz w:val="22"/>
          <w:szCs w:val="22"/>
        </w:rPr>
        <w:t xml:space="preserve">The case for Delivery Intelligence as a fundable business rests on three pillars:</w:t>
      </w:r>
    </w:p>
    <w:p>
      <w:pPr>
        <w:spacing w:after="60" w:before="0"/>
      </w:pPr>
      <w:r>
        <w:t xml:space="preserve"/>
      </w:r>
    </w:p>
    <w:p>
      <w:pPr>
        <w:pStyle w:val="Heading2"/>
        <w:spacing w:after="140" w:before="300"/>
      </w:pPr>
      <w:r>
        <w:rPr>
          <w:rFonts w:ascii="Arial" w:cs="Arial" w:eastAsia="Arial" w:hAnsi="Arial"/>
          <w:b/>
          <w:bCs/>
          <w:color w:val="1565C0"/>
          <w:sz w:val="30"/>
          <w:szCs w:val="30"/>
        </w:rPr>
        <w:t xml:space="preserve">5.1 Market Timing</w:t>
      </w:r>
    </w:p>
    <w:p>
      <w:pPr>
        <w:spacing w:after="100" w:before="80"/>
        <w:jc w:val="both"/>
      </w:pPr>
      <w:r>
        <w:rPr>
          <w:rFonts w:ascii="Arial" w:cs="Arial" w:eastAsia="Arial" w:hAnsi="Arial"/>
          <w:sz w:val="22"/>
          <w:szCs w:val="22"/>
        </w:rPr>
        <w:t xml:space="preserve">2026 is the inflection year for agentic AI in project management. The market is transitioning from content generation (Tier 2) to autonomous execution (Tier 4). Delivery Intelligence is building at Tier 4 now, when most competitors are still at Tier 2. The technical barriers are solved. The go-to-market window is open.</w:t>
      </w:r>
    </w:p>
    <w:p>
      <w:pPr>
        <w:spacing w:after="60" w:before="0"/>
      </w:pPr>
      <w:r>
        <w:t xml:space="preserve"/>
      </w:r>
    </w:p>
    <w:p>
      <w:pPr>
        <w:pStyle w:val="Heading2"/>
        <w:spacing w:after="140" w:before="300"/>
      </w:pPr>
      <w:r>
        <w:rPr>
          <w:rFonts w:ascii="Arial" w:cs="Arial" w:eastAsia="Arial" w:hAnsi="Arial"/>
          <w:b/>
          <w:bCs/>
          <w:color w:val="1565C0"/>
          <w:sz w:val="30"/>
          <w:szCs w:val="30"/>
        </w:rPr>
        <w:t xml:space="preserve">5.2 Unique Defensibility</w:t>
      </w:r>
    </w:p>
    <w:p>
      <w:pPr>
        <w:spacing w:after="100" w:before="80"/>
        <w:jc w:val="both"/>
      </w:pPr>
      <w:r>
        <w:rPr>
          <w:rFonts w:ascii="Arial" w:cs="Arial" w:eastAsia="Arial" w:hAnsi="Arial"/>
          <w:sz w:val="22"/>
          <w:szCs w:val="22"/>
        </w:rPr>
        <w:t xml:space="preserve">The charter semantic backbone is an architectural moat. Competitors cannot add this as a feature — it requires a ground-up rethink of how requirements, meetings, code, and reports are all related to a common baseline. The longer the platform runs, the stronger the moat: every project's history strengthens the AI's understanding of delivery patterns.</w:t>
      </w:r>
    </w:p>
    <w:p>
      <w:pPr>
        <w:spacing w:after="60" w:before="0"/>
      </w:pPr>
      <w:r>
        <w:t xml:space="preserve"/>
      </w:r>
    </w:p>
    <w:p>
      <w:pPr>
        <w:pStyle w:val="Heading2"/>
        <w:spacing w:after="140" w:before="300"/>
      </w:pPr>
      <w:r>
        <w:rPr>
          <w:rFonts w:ascii="Arial" w:cs="Arial" w:eastAsia="Arial" w:hAnsi="Arial"/>
          <w:b/>
          <w:bCs/>
          <w:color w:val="1565C0"/>
          <w:sz w:val="30"/>
          <w:szCs w:val="30"/>
        </w:rPr>
        <w:t xml:space="preserve">5.3 Regulatory Tailwinds</w:t>
      </w:r>
    </w:p>
    <w:p>
      <w:pPr>
        <w:spacing w:after="100" w:before="80"/>
        <w:jc w:val="both"/>
      </w:pPr>
      <w:r>
        <w:rPr>
          <w:rFonts w:ascii="Arial" w:cs="Arial" w:eastAsia="Arial" w:hAnsi="Arial"/>
          <w:sz w:val="22"/>
          <w:szCs w:val="22"/>
        </w:rPr>
        <w:t xml:space="preserve">Traceability is becoming a compliance requirement for AI-generated code. Capgemini, CircleCI, and DevOps research all confirm this in 2026. Delivery Intelligence is positioned to be the compliance infrastructure layer for every team using AI coding tools — a position that commands enterprise-level pricing and switching costs.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FD8DC" w:sz="1"/>
              <w:left w:val="single" w:color="CFD8DC" w:sz="1"/>
              <w:bottom w:val="single" w:color="CFD8DC" w:sz="1"/>
              <w:right w:val="single" w:color="CFD8DC" w:sz="1"/>
            </w:tcBorders>
            <w:shd w:fill="1565C0" w:val="clear"/>
            <w:tcMar>
              <w:top w:type="dxa" w:w="90"/>
              <w:left w:type="dxa" w:w="100"/>
              <w:bottom w:type="dxa" w:w="90"/>
              <w:right w:type="dxa" w:w="100"/>
            </w:tcMar>
          </w:tcPr>
          <w:p>
            <w:pPr>
              <w:jc w:val="center"/>
            </w:pPr>
            <w:r>
              <w:rPr>
                <w:rFonts w:ascii="Arial" w:cs="Arial" w:eastAsia="Arial" w:hAnsi="Arial"/>
                <w:b/>
                <w:bCs/>
                <w:color w:val="FFFFFF"/>
                <w:sz w:val="17"/>
                <w:szCs w:val="17"/>
              </w:rPr>
              <w:t xml:space="preserve">#1565C0</w:t>
            </w:r>
          </w:p>
        </w:tc>
        <w:tc>
          <w:tcPr>
            <w:tcW w:type="dxa" w:w="8260"/>
            <w:tcBorders>
              <w:top w:val="single" w:color="CFD8DC" w:sz="1"/>
              <w:left w:val="single" w:color="CFD8DC" w:sz="1"/>
              <w:bottom w:val="single" w:color="CFD8DC" w:sz="1"/>
              <w:right w:val="single" w:color="CFD8DC" w:sz="1"/>
            </w:tcBorders>
            <w:shd w:fill="E3F2FD" w:val="clear"/>
            <w:tcMar>
              <w:top w:type="dxa" w:w="90"/>
              <w:left w:type="dxa" w:w="140"/>
              <w:bottom w:type="dxa" w:w="90"/>
              <w:right w:type="dxa" w:w="120"/>
            </w:tcMar>
          </w:tcPr>
          <w:p>
            <w:r>
              <w:rPr>
                <w:rFonts w:ascii="Arial" w:cs="Arial" w:eastAsia="Arial" w:hAnsi="Arial"/>
                <w:sz w:val="20"/>
                <w:szCs w:val="20"/>
              </w:rPr>
              <w:t xml:space="preserve">Seed ask: $1.2M at $8M pre-money to complete MVP, land 10 design partners, achieve PMF signal, and begin enterprise sales. 18-month runway to $3.2M ARR.</w:t>
            </w:r>
          </w:p>
        </w:tc>
      </w:tr>
    </w:tbl>
    <w:p>
      <w:pPr>
        <w:spacing w:after="60" w:before="0"/>
      </w:pPr>
      <w:r>
        <w:t xml:space="preserve"/>
      </w:r>
    </w:p>
    <w:p>
      <w:pPr>
        <w:pBdr>
          <w:bottom w:val="single" w:color="CFD8DC" w:sz="4" w:space="4"/>
        </w:pBdr>
        <w:spacing w:after="120" w:before="120"/>
      </w:pPr>
      <w:r>
        <w:t xml:space="preserve"/>
      </w:r>
    </w:p>
    <w:p>
      <w:pPr>
        <w:spacing w:after="80" w:before="200"/>
        <w:jc w:val="center"/>
      </w:pPr>
      <w:r>
        <w:rPr>
          <w:rFonts w:ascii="Arial" w:cs="Arial" w:eastAsia="Arial" w:hAnsi="Arial"/>
          <w:b/>
          <w:bCs/>
          <w:i/>
          <w:iCs/>
          <w:color w:val="0B1E35"/>
          <w:sz w:val="26"/>
          <w:szCs w:val="26"/>
        </w:rPr>
        <w:t xml:space="preserve">From raw idea to validated, traceable delivery — in one platform.</w:t>
      </w:r>
    </w:p>
    <w:p>
      <w:pPr>
        <w:spacing w:after="0" w:before="0"/>
        <w:jc w:val="center"/>
      </w:pPr>
      <w:r>
        <w:rPr>
          <w:rFonts w:ascii="Arial" w:cs="Arial" w:eastAsia="Arial" w:hAnsi="Arial"/>
          <w:color w:val="AAAAAA"/>
          <w:sz w:val="18"/>
          <w:szCs w:val="18"/>
        </w:rPr>
        <w:t xml:space="preserve">Delivery Intelligence · BuildOS AI · Complete Build Series v1.0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1E35"/>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1565C0"/>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0069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2026-04-24T23:01:45.045Z</dcterms:created>
  <dcterms:modified xsi:type="dcterms:W3CDTF">2026-04-24T23:01:45.045Z</dcterms:modified>
</cp:coreProperties>
</file>

<file path=docProps/custom.xml><?xml version="1.0" encoding="utf-8"?>
<Properties xmlns="http://schemas.openxmlformats.org/officeDocument/2006/custom-properties" xmlns:vt="http://schemas.openxmlformats.org/officeDocument/2006/docPropsVTypes"/>
</file>