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200"/>
        <w:jc w:val="center"/>
      </w:pPr>
      <w:r>
        <w:rPr>
          <w:b/>
          <w:bCs/>
          <w:color w:val="1F3A5F"/>
          <w:sz w:val="56"/>
          <w:szCs w:val="56"/>
        </w:rPr>
        <w:t xml:space="preserve">EzMAP v2</w:t>
      </w:r>
    </w:p>
    <w:p>
      <w:pPr>
        <w:spacing w:after="160" w:before="100"/>
        <w:jc w:val="center"/>
      </w:pPr>
      <w:r>
        <w:rPr>
          <w:b/>
          <w:bCs/>
          <w:color w:val="2E75B6"/>
          <w:sz w:val="40"/>
          <w:szCs w:val="40"/>
        </w:rPr>
        <w:t xml:space="preserve">Easy and Expert Mode Parameters</w:t>
      </w:r>
    </w:p>
    <w:p>
      <w:pPr>
        <w:spacing w:after="600" w:before="80"/>
        <w:jc w:val="center"/>
      </w:pPr>
      <w:r>
        <w:rPr>
          <w:i/>
          <w:iCs/>
          <w:color w:val="6B7280"/>
          <w:sz w:val="26"/>
          <w:szCs w:val="26"/>
        </w:rPr>
        <w:t xml:space="preserve">Comprehensive Reference for Upstream and Downstream Analysis</w:t>
      </w:r>
    </w:p>
    <w:p>
      <w:pPr>
        <w:spacing w:after="80" w:before="200"/>
        <w:jc w:val="center"/>
      </w:pPr>
      <w:r>
        <w:rPr>
          <w:color w:val="1F2937"/>
          <w:sz w:val="24"/>
          <w:szCs w:val="24"/>
        </w:rPr>
        <w:t xml:space="preserve">Reviewer Response Documentation</w:t>
      </w:r>
    </w:p>
    <w:p>
      <w:pPr>
        <w:spacing w:after="160" w:before="60"/>
        <w:jc w:val="center"/>
      </w:pPr>
      <w:r>
        <w:rPr>
          <w:i/>
          <w:iCs/>
          <w:color w:val="6B7280"/>
          <w:sz w:val="22"/>
          <w:szCs w:val="22"/>
        </w:rPr>
        <w:t xml:space="preserve">Default values, allowable ranges, and parameter rationale</w:t>
      </w:r>
    </w:p>
    <w:p>
      <w:r>
        <w:br w:type="page"/>
      </w:r>
    </w:p>
    <w:p>
      <w:pPr>
        <w:pStyle w:val="Heading1"/>
        <w:spacing w:after="200" w:before="360"/>
      </w:pPr>
      <w:r>
        <w:rPr>
          <w:b/>
          <w:bCs/>
          <w:color w:val="1F3A5F"/>
          <w:sz w:val="36"/>
          <w:szCs w:val="36"/>
        </w:rPr>
        <w:t xml:space="preserve">1. Introduction</w:t>
      </w:r>
    </w:p>
    <w:p>
      <w:pPr>
        <w:spacing w:after="80" w:before="80"/>
      </w:pPr>
      <w:r>
        <w:rPr>
          <w:b w:val="false"/>
          <w:bCs w:val="false"/>
          <w:i w:val="false"/>
          <w:iCs w:val="false"/>
          <w:color w:val="1F2937"/>
          <w:sz w:val="22"/>
          <w:szCs w:val="22"/>
        </w:rPr>
        <w:t xml:space="preserve">EzMAP v2 separates the analysis workflow into two operating modes that share the same parameter set but differ in the level of user interaction. Easy Mode applies validated defaults drawn from peer-reviewed methodology literature so that a single click runs an end-to-end pipeline; Expert Mode exposes every step of the QIIME 2 / Shiny workflow with full parameter control. This document tabulates every user-facing control in both the upstream (FASTQ → ASV table → taxonomy) and downstream (statistical analysis, visualization, functional prediction) modules. For each control we report the Easy-mode default, the Expert-mode allowable range or option set, a one-line description of the parameter, and whether the control is visible in Easy Mode, Expert Mode, or both.</w:t>
      </w:r>
    </w:p>
    <w:p>
      <w:pPr>
        <w:spacing w:after="80" w:before="80"/>
      </w:pPr>
      <w:r>
        <w:rPr>
          <w:b w:val="false"/>
          <w:bCs w:val="false"/>
          <w:i w:val="false"/>
          <w:iCs w:val="false"/>
          <w:color w:val="1F2937"/>
          <w:sz w:val="22"/>
          <w:szCs w:val="22"/>
        </w:rPr>
        <w:t xml:space="preserve">Section 2 covers the upstream Java wizard. Section 3 covers the downstream R/Shiny application. Section 4 lists plugin versions, and Section 5 records the evidence base for the chosen defaults.</w:t>
      </w:r>
    </w:p>
    <w:p>
      <w:r>
        <w:br w:type="page"/>
      </w:r>
    </w:p>
    <w:p>
      <w:pPr>
        <w:pStyle w:val="Heading1"/>
        <w:spacing w:after="200" w:before="360"/>
      </w:pPr>
      <w:r>
        <w:rPr>
          <w:b/>
          <w:bCs/>
          <w:color w:val="1F3A5F"/>
          <w:sz w:val="36"/>
          <w:szCs w:val="36"/>
        </w:rPr>
        <w:t xml:space="preserve">2. Upstream Analysis Parameters</w:t>
      </w:r>
    </w:p>
    <w:p>
      <w:pPr>
        <w:spacing w:after="80" w:before="80"/>
      </w:pPr>
      <w:r>
        <w:rPr>
          <w:b w:val="false"/>
          <w:bCs w:val="false"/>
          <w:i w:val="false"/>
          <w:iCs w:val="false"/>
          <w:color w:val="1F2937"/>
          <w:sz w:val="22"/>
          <w:szCs w:val="22"/>
        </w:rPr>
        <w:t xml:space="preserve">The upstream pipeline is a Java Swing wizard built on top of QIIME 2 (≥ 2024.10). Easy Mode collapses every step into a single configuration card with auto-detected primers, smart truncation, and quality-driven trimming. Expert Mode runs the same QIIME 2 plugins through dedicated wizard pages so the user can override any parameter.</w:t>
      </w:r>
    </w:p>
    <w:p>
      <w:pPr>
        <w:pStyle w:val="Heading2"/>
        <w:spacing w:after="160" w:before="320"/>
      </w:pPr>
      <w:r>
        <w:rPr>
          <w:b/>
          <w:bCs/>
          <w:color w:val="2E75B6"/>
          <w:sz w:val="30"/>
          <w:szCs w:val="30"/>
        </w:rPr>
        <w:t xml:space="preserve">2.1 Mode and Path Selection</w:t>
      </w:r>
    </w:p>
    <w:p>
      <w:pPr>
        <w:spacing w:after="80" w:before="80"/>
      </w:pPr>
      <w:r>
        <w:rPr>
          <w:b w:val="false"/>
          <w:bCs w:val="false"/>
          <w:i w:val="false"/>
          <w:iCs w:val="false"/>
          <w:color w:val="1F2937"/>
          <w:sz w:val="22"/>
          <w:szCs w:val="22"/>
        </w:rPr>
        <w:t xml:space="preserve">On launch, the user selects an analysis path (full pipeline vs. downstream-only) and a mode (Easy, Expert, Resume). These choices govern the entire downstream wizard flow.</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Welcome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Full Analysis (path)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Default selection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Toggle: Full / Downstream-only</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Run complete QIIME 2 pipeline from raw FASTQ to results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Welcome</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Downstream Only (path)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Optional</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Toggle: Full / Downstream-only</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Skip pipeline and load pre-processed BIOM + metadata + tree</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Mode Select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Recommended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 / Resume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One-click pipeline with validated defaults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Mode Select</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Mode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 / Expert / Resume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Full wizard with per-step parameter control</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Mode Select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Resume Downstream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 / Resume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Skip pipeline, load and view existing QIIME 2 results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bl>
    <w:p>
      <w:pPr>
        <w:pStyle w:val="Heading2"/>
        <w:spacing w:after="160" w:before="320"/>
      </w:pPr>
      <w:r>
        <w:rPr>
          <w:b/>
          <w:bCs/>
          <w:color w:val="2E75B6"/>
          <w:sz w:val="30"/>
          <w:szCs w:val="30"/>
        </w:rPr>
        <w:t xml:space="preserve">2.2 Environment and Database Setup</w:t>
      </w:r>
    </w:p>
    <w:p>
      <w:pPr>
        <w:spacing w:after="80" w:before="80"/>
      </w:pPr>
      <w:r>
        <w:rPr>
          <w:b w:val="false"/>
          <w:bCs w:val="false"/>
          <w:i w:val="false"/>
          <w:iCs w:val="false"/>
          <w:color w:val="1F2937"/>
          <w:sz w:val="22"/>
          <w:szCs w:val="22"/>
        </w:rPr>
        <w:t xml:space="preserve">EzMAP installs and manages its own conda environment plus a curated set of reference databases and pre-trained classifiers. The Settings page reports OS / Java / QIIME 2 versions and total disk usage.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Env. Setup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Operating System</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Auto-detected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Display only (Windows / macOS / Linux)</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On Windows shows WSL / Ubuntu guidance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Env. Setup</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Start Environment Setup (Button)</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Enabled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Click to begin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Installs Miniconda + QIIME 2 inline</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Env. Setup</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Skip (already installed)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Enabled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Click to skip</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Assume QIIME 2 environment already exists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Databases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SILVA 138.2 (16S/18S)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Not downloaded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Download / Delete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SSU 99% NR sequences + taxonomy (~610 MB)</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Databases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Greengenes2 2024.09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Not downloaded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Download / Delete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Full-length 16S sequences + taxonomy (~180 MB)</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Databases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UNITE 10.0 (ITS)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Not downloaded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Manual import / Delete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Fungal ITS; licensing requires manual download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Classifiers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SILVA 138.2 — Full-length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Not downloaded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Download / Delete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Generic 16S classifier (~150 MB)</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Classifiers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SILVA 138.2 — V4 (515F/806R)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Not downloaded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Download / Delete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Optimised for V4 region (~100 MB)</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Classifiers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Greengenes2 — Full-length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Not downloaded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Download / Delete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Generic Greengenes classifier (~100 MB)</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Classifiers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Import Existing Classifier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Browse for .qza</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 a custom or previously downloaded classifier</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Both</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Region-specific classifiers (×6)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Not trained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Train / Delete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16S-V3V4/V4 + SILVA / Greengenes2; ITS1/ITS2 + UNITE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Both</w:t>
            </w:r>
          </w:p>
        </w:tc>
      </w:tr>
    </w:tbl>
    <w:p>
      <w:pPr>
        <w:pStyle w:val="Heading2"/>
        <w:spacing w:after="160" w:before="320"/>
      </w:pPr>
      <w:r>
        <w:rPr>
          <w:b/>
          <w:bCs/>
          <w:color w:val="2E75B6"/>
          <w:sz w:val="30"/>
          <w:szCs w:val="30"/>
        </w:rPr>
        <w:t xml:space="preserve">2.3 Easy Mode Pipeline (one-click form)</w:t>
      </w:r>
    </w:p>
    <w:p>
      <w:pPr>
        <w:spacing w:after="80" w:before="80"/>
      </w:pPr>
      <w:r>
        <w:rPr>
          <w:b w:val="false"/>
          <w:bCs w:val="false"/>
          <w:i w:val="false"/>
          <w:iCs w:val="false"/>
          <w:color w:val="1F2937"/>
          <w:sz w:val="22"/>
          <w:szCs w:val="22"/>
        </w:rPr>
        <w:t xml:space="preserve">Easy Mode consolidates all upstream parameters into one card. After validating the input files, the second card unlocks five parameters that control the entire pipeline. Everything else (primer sequences, truncation positions, expected-error thresholds, chimera method, classification confidence) inherits the validated defaults documented in Section 4.</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Project / working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Directory picker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Sets default location for all subsequent file browsers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FASTQ folder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Directory picker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Paired-end or single-end raw reads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Metadata file (.tsv)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Sample IDs in column 1, matched against FASTQ IDs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Output folder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projectDir/output</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User editable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Destination for all pipeline outputs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Pipeline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Amplicon region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16S-V3V4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16S-V3V4 / 16S-V4 / ITS1 / ITS2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Determines primer defaults and trim values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Pipeline</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Threads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1–64</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CPU threads for parallel steps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Pipeline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Denoiser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 (recommended)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 / Deblur</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ASV-based denoising method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Pipeline</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Low-memory mode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Auto (true if &lt;16 GB)</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Single-thread DADA2 fallback for low-RAM systems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Pipeline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Classifier .qza (optional)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Auto-detected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If blank, EzMAP picks the best classifier for the chosen amplicon</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Validation</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FASTQ Type alert (read-only)</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Auto-detected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PairedEnd/SingleEnd Phred33V2, Casava, EMP</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Shows the QIIME 2 import format detected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Validation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Sample-ID reconciliation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Auto-matched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Editable per-row</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Aligns FASTQ sample IDs with the metadata sheet</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w:t>
            </w:r>
          </w:p>
        </w:tc>
      </w:tr>
    </w:tbl>
    <w:p>
      <w:pPr>
        <w:pStyle w:val="Heading2"/>
        <w:spacing w:after="160" w:before="320"/>
      </w:pPr>
      <w:r>
        <w:rPr>
          <w:b/>
          <w:bCs/>
          <w:color w:val="2E75B6"/>
          <w:sz w:val="30"/>
          <w:szCs w:val="30"/>
        </w:rPr>
        <w:t xml:space="preserve">2.4 Expert Mode — Step 1: Validate Inputs</w:t>
      </w:r>
    </w:p>
    <w:p>
      <w:pPr>
        <w:spacing w:after="80" w:before="80"/>
      </w:pPr>
      <w:r>
        <w:rPr>
          <w:b w:val="false"/>
          <w:bCs w:val="false"/>
          <w:i w:val="false"/>
          <w:iCs w:val="false"/>
          <w:color w:val="1F2937"/>
          <w:sz w:val="22"/>
          <w:szCs w:val="22"/>
        </w:rPr>
        <w:t xml:space="preserve">Validates input directories, metadata, and amplicon / primer status before any QIIME 2 plugin is invoked.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Project / working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Directory picker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Sets default location for all browsers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FASTQ folder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Directory picker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Paired-end or single-end reads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Metadata file (.tsv)</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Sample IDs in column 1</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Inputs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Output directory</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Directory picker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Pipeline results destination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Sequencing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Amplicon region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16S-V4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16S-V4 / 16S-V3V4 / ITS1 / ITS2 / Custom</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Drives primer auto-fill on the Cutadapt page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Sequencing</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Primers / barcodes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Auto-detect</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Present / Already removed / Auto-detect</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Status of primers in the raw reads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bl>
    <w:p>
      <w:pPr>
        <w:pStyle w:val="Heading2"/>
        <w:spacing w:after="160" w:before="320"/>
      </w:pPr>
      <w:r>
        <w:rPr>
          <w:b/>
          <w:bCs/>
          <w:color w:val="2E75B6"/>
          <w:sz w:val="30"/>
          <w:szCs w:val="30"/>
        </w:rPr>
        <w:t xml:space="preserve">2.5 Expert Mode — Steps 2 and 3: Import and Quality Assessment</w:t>
      </w:r>
    </w:p>
    <w:p>
      <w:pPr>
        <w:spacing w:after="80" w:before="80"/>
      </w:pPr>
      <w:r>
        <w:rPr>
          <w:b w:val="false"/>
          <w:bCs w:val="false"/>
          <w:i w:val="false"/>
          <w:iCs w:val="false"/>
          <w:color w:val="1F2937"/>
          <w:sz w:val="22"/>
          <w:szCs w:val="22"/>
        </w:rPr>
        <w:t xml:space="preserve">Step 2 imports demultiplexed FASTQ into a QIIME 2 artifact (demux.qza). Step 3 generates a per-base quality visualization (.qzv) used to inform the truncation choices on the Denoising page.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Import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Import format (read-only)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Auto-detected from validate step</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Display only</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PairedEnd/SingleEnd Phred33V2 etc.</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Import</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QIIME 2 type (read-only)</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Auto-detected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Display only</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SampleData[PairedEndSequencesWithQuality] etc.</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Import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Read type (read-only)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Auto-detected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Display only</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Paired-end or single-end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Import</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Manifest file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Auto-filled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User editable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samples_manifest.tsv</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Import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Output directory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Auto-filled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editable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Destination for demux.qza</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Quality</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Demux .qza file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Auto-filled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Demultiplexed sequences for the QC visualization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bl>
    <w:p>
      <w:pPr>
        <w:pStyle w:val="Heading2"/>
        <w:spacing w:after="160" w:before="320"/>
      </w:pPr>
      <w:r>
        <w:rPr>
          <w:b/>
          <w:bCs/>
          <w:color w:val="2E75B6"/>
          <w:sz w:val="30"/>
          <w:szCs w:val="30"/>
        </w:rPr>
        <w:t xml:space="preserve">2.6 Expert Mode — Step 4: Primer Removal (Cutadapt)</w:t>
      </w:r>
    </w:p>
    <w:p>
      <w:pPr>
        <w:spacing w:after="80" w:before="80"/>
      </w:pPr>
      <w:r>
        <w:rPr>
          <w:b w:val="false"/>
          <w:bCs w:val="false"/>
          <w:i w:val="false"/>
          <w:iCs w:val="false"/>
          <w:color w:val="1F2937"/>
          <w:sz w:val="22"/>
          <w:szCs w:val="22"/>
        </w:rPr>
        <w:t xml:space="preserve">Cutadapt trims forward and reverse primers from raw reads. EzMAP first auto-scans the demux artifact to detect any barcode / linker prefix; detection results control whether the user can skip this step.</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Auto-detect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Barcode / Linker detection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Scans on page load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Shows detection result</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Auto-scans demux.qza for barcode/linker prefixes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Amplicon region</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Inherited from Validate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16S-V3V4 / 16S-V4 / ITS1 / ITS2 / Custom</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Auto-fills forward and reverse primers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Forward primer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Per-amplicon (e.g. CCTACGGGNGGCWGCAG for V3V4)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Editable IUPAC sequence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5′→3′ forward primer; IUPAC codes allowed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Reverse primer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Per-amplicon (e.g. GACTACHVGGGTATCTAATCC)</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Editable IUPAC sequence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5′→3′ reverse primer; ignored for single-end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Error rate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0.0–1.0, step 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Maximum mismatch rate for primer matching</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Times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1–10,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Number of primer-removal rounds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Overlap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1–50,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Minimum primer overlap with read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read length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1–500, step 10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Discard reads shorter than this after trimming</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CPU cores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 (max − 1)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0–128,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Parallel CPU threads; 0 = all available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Primer config</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Discard untrimmed</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Remove reads where no primer was found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bl>
    <w:p>
      <w:pPr>
        <w:pStyle w:val="Heading2"/>
        <w:spacing w:after="160" w:before="320"/>
      </w:pPr>
      <w:r>
        <w:rPr>
          <w:b/>
          <w:bCs/>
          <w:color w:val="2E75B6"/>
          <w:sz w:val="30"/>
          <w:szCs w:val="30"/>
        </w:rPr>
        <w:t xml:space="preserve">2.7 Expert Mode — Step 5: Denoising / OTU Clustering</w:t>
      </w:r>
    </w:p>
    <w:p>
      <w:pPr>
        <w:spacing w:after="80" w:before="80"/>
      </w:pPr>
      <w:r>
        <w:rPr>
          <w:b w:val="false"/>
          <w:bCs w:val="false"/>
          <w:i w:val="false"/>
          <w:iCs w:val="false"/>
          <w:color w:val="1F2937"/>
          <w:sz w:val="22"/>
          <w:szCs w:val="22"/>
        </w:rPr>
        <w:t xml:space="preserve">EzMAP supports DADA2 (default), Deblur, and VSEARCH OTU clustering. The Read-Type Override checkbox forces single-end mode when paired-end was wrongly auto-detected.</w:t>
      </w:r>
    </w:p>
    <w:p>
      <w:pPr>
        <w:pStyle w:val="Heading3"/>
        <w:spacing w:after="120" w:before="240"/>
      </w:pPr>
      <w:r>
        <w:rPr>
          <w:b/>
          <w:bCs/>
          <w:color w:val="4472C4"/>
          <w:sz w:val="26"/>
          <w:szCs w:val="26"/>
        </w:rPr>
        <w:t xml:space="preserve">2.7.1 DADA2 (default denoiser)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Input</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Demux .qza file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Auto-filled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Demultiplexed or trimmed sequences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Override</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 forward reads only (single-end)</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false (auto-detect)</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Force single-end when paired-end is mis-detected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Forward trim left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0–100,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Bases to remove from forward read start</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Forward truncate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Smart Trim (e.g. 260 for V3V4)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0–500, step 10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Truncate forward reads at this position (0 = no truncation)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Reverse trim left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0–100,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Bases to remove from reverse read start (paired-end only)</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Reverse truncate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Smart Trim (e.g. 220 for V3V4)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0–500, step 10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Truncate reverse reads at this position (paired-end only)</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Max expected errors (forward)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0.0–100.0,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Discard forward reads with &gt; this many expected errors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Max expected errors (reverse)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0.0–100.0, step 0.5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Discard reverse reads with &gt; this many expected errors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Trunc quality (--trunc-q)</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0–40,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Truncate at first base with Q ≤ this value (2 ≈ off)</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Chimera method</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consensus</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consensus / pooled / none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Chimera detection strategy</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 fold parent abundance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0.1–100.0,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Minimum fold-difference for chimera removal</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DADA2</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Threads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1–64,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CPU threads for DADA2</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bl>
    <w:p>
      <w:pPr>
        <w:pStyle w:val="Heading3"/>
        <w:spacing w:after="120" w:before="240"/>
      </w:pPr>
      <w:r>
        <w:rPr>
          <w:b/>
          <w:bCs/>
          <w:color w:val="4472C4"/>
          <w:sz w:val="26"/>
          <w:szCs w:val="26"/>
        </w:rPr>
        <w:t xml:space="preserve">2.7.2 Deblur (alternative denoiser)</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Deblur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Trim length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250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50–500, step 10</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All reads truncated to this length</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Deblur</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 reads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1–1000,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reads per sample to retain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Deblur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 fold parent abundance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0.1–100.0,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Minimum fold-difference for chimera detection</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Deblur</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Parallel jobs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1–64,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Number of parallel jobs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bl>
    <w:p>
      <w:pPr>
        <w:pStyle w:val="Heading3"/>
        <w:spacing w:after="120" w:before="240"/>
      </w:pPr>
      <w:r>
        <w:rPr>
          <w:b/>
          <w:bCs/>
          <w:color w:val="4472C4"/>
          <w:sz w:val="26"/>
          <w:szCs w:val="26"/>
        </w:rPr>
        <w:t xml:space="preserve">2.7.3 VSEARCH (OTU clustering)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VSEARCH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Percent identity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0.97</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0.80–1.00, step 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OTU clustering similarity threshold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VSEARCH</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 overlap length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1–100,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overlap (bp) to merge paired reads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VSEARCH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 quality score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0–40,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Discard reads below this average quality</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VSEARCH</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 merged length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50–500, step 10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length of merged / filtered reads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VSEARCH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Allow merge stagger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Allow staggered merging of read pairs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VSEARCH</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Chimera removal</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 novo (uchime)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 novo (uchime) / none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VSEARCH UCHIME chimera detection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VSEARCH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Threads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1–64,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CPU threads for VSEARCH</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bl>
    <w:p>
      <w:pPr>
        <w:pStyle w:val="Heading2"/>
        <w:spacing w:after="160" w:before="320"/>
      </w:pPr>
      <w:r>
        <w:rPr>
          <w:b/>
          <w:bCs/>
          <w:color w:val="2E75B6"/>
          <w:sz w:val="30"/>
          <w:szCs w:val="30"/>
        </w:rPr>
        <w:t xml:space="preserve">2.8 Expert Mode — Step 6: Taxonomy Assignment</w:t>
      </w:r>
    </w:p>
    <w:p>
      <w:pPr>
        <w:spacing w:after="80" w:before="80"/>
      </w:pPr>
      <w:r>
        <w:rPr>
          <w:b w:val="false"/>
          <w:bCs w:val="false"/>
          <w:i w:val="false"/>
          <w:iCs w:val="false"/>
          <w:color w:val="1F2937"/>
          <w:sz w:val="22"/>
          <w:szCs w:val="22"/>
        </w:rPr>
        <w:t xml:space="preserve">Three classifier sources are available: a pre-trained classifier from the local repository, a freshly trained region-specific classifier, or a custom .qza supplied by the user. Classification uses the QIIME 2 classify-sklearn (Naive Bayes) plugin.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 pre-trained classifier (radio)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Select from ~/ezmap2-classifiers/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Classifier</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Pre-trained classifier dropdown</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Populated from disk</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List of available .qza files</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Available .qza classifiers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Train a new classifier (radio)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false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Train region-specific classifier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Database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SILVA 138.2</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SILVA / Greengenes2 / UNITE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Reference database for training</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Amplicon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16S-V3V4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16S-V3V4 / 16S-V4 / ITS1 / ITS2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Amplicon region for in-silico PCR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Forward primer (training)</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Per-amplicon defaults</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Editable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Forward primer for extracting reference region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Reverse primer (training)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Per-amplicon defaults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Editable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Reverse primer for extracting reference region</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 length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100 (V4) / 200 (V3V4) / 100 (ITS)</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50–2000, step 10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amplicon length after in-silico PCR</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Max length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400 (V4) / 500 (V3V4) / 600 (ITS)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100–5000, step 10</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Maximum amplicon length after in-silico PCR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Train</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Threads (training)</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1–64,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CPU threads for classifier training</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Classifier</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 custom classifier (radio)</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false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Browse for an existing .qza classifier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Classifier</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Custom classifier path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Path to custom .qza classifier</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Classification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Rep-seqs (.qza)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Auto-filled from Denoising step</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Representative sequences artifact</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Classification</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Confidence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0.7</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0.0–1.0 step 0.05, or −1 to disable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posterior probability for taxonomy assignment</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Classification</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Parallel jobs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4</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1–64,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CPU jobs for classification (−1 = all cores)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Classification</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Reads per batch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 (auto)</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0–100,000, step 1000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Batch size for classification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w:t>
            </w:r>
          </w:p>
        </w:tc>
      </w:tr>
    </w:tbl>
    <w:p>
      <w:pPr>
        <w:pStyle w:val="Heading2"/>
        <w:spacing w:after="160" w:before="320"/>
      </w:pPr>
      <w:r>
        <w:rPr>
          <w:b/>
          <w:bCs/>
          <w:color w:val="2E75B6"/>
          <w:sz w:val="30"/>
          <w:szCs w:val="30"/>
        </w:rPr>
        <w:t xml:space="preserve">2.9 Downstream-Only Upload</w:t>
      </w:r>
    </w:p>
    <w:p>
      <w:pPr>
        <w:spacing w:after="80" w:before="80"/>
      </w:pPr>
      <w:r>
        <w:rPr>
          <w:b w:val="false"/>
          <w:bCs w:val="false"/>
          <w:i w:val="false"/>
          <w:iCs w:val="false"/>
          <w:color w:val="1F2937"/>
          <w:sz w:val="22"/>
          <w:szCs w:val="22"/>
        </w:rPr>
        <w:t xml:space="preserve">When the user picks the Downstream-Only path on the Welcome page, the wizard skips QIIME 2 and prompts for the three artifacts needed by the R / Shiny downstream module.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Quick load</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EzMAP v2 bundle folder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Directory picker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User selection</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Auto-detects BIOM, metadata, tree from output folder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Downstream-only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Files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BIOM table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feature-table-tax.biom or feature-table.biom</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Required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Downstream-only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Files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Sample metadata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metadata.tsv (sample-id or #SampleID first col)</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Required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Downstream-only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Files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Phylogenetic tree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File picker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rooted-tree.nwk (Newick)</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Optional</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Downstream-only</w:t>
            </w:r>
          </w:p>
        </w:tc>
      </w:tr>
    </w:tbl>
    <w:p>
      <w:r>
        <w:br w:type="page"/>
      </w:r>
    </w:p>
    <w:p>
      <w:pPr>
        <w:pStyle w:val="Heading1"/>
        <w:spacing w:after="200" w:before="360"/>
      </w:pPr>
      <w:r>
        <w:rPr>
          <w:b/>
          <w:bCs/>
          <w:color w:val="1F3A5F"/>
          <w:sz w:val="36"/>
          <w:szCs w:val="36"/>
        </w:rPr>
        <w:t xml:space="preserve">3. Downstream Analysis Parameters</w:t>
      </w:r>
    </w:p>
    <w:p>
      <w:pPr>
        <w:spacing w:after="80" w:before="80"/>
      </w:pPr>
      <w:r>
        <w:rPr>
          <w:b w:val="false"/>
          <w:bCs w:val="false"/>
          <w:i w:val="false"/>
          <w:iCs w:val="false"/>
          <w:color w:val="1F2937"/>
          <w:sz w:val="22"/>
          <w:szCs w:val="22"/>
        </w:rPr>
        <w:t xml:space="preserve">The downstream module is an R Shiny application driven by phyloseq, vegan, DESeq2, ANCOM-BC, randomForest, microbiome, igraph, and a curated set of phenotype / functional databases (BugBase, FunGuild, Tax4Fun2). Easy Mode hides every Expert-only control behind a green banner stating the validated default; Expert Mode reveals the full Controls + Aesthetics column for each panel. Plot Customization changes always update the rendered figure live without re-running the analysis.</w:t>
      </w:r>
    </w:p>
    <w:p>
      <w:pPr>
        <w:pStyle w:val="Heading2"/>
        <w:spacing w:after="160" w:before="320"/>
      </w:pPr>
      <w:r>
        <w:rPr>
          <w:b/>
          <w:bCs/>
          <w:color w:val="2E75B6"/>
          <w:sz w:val="30"/>
          <w:szCs w:val="30"/>
        </w:rPr>
        <w:t xml:space="preserve">3.1 Data Upload</w:t>
      </w:r>
    </w:p>
    <w:p>
      <w:pPr>
        <w:spacing w:after="80" w:before="80"/>
      </w:pPr>
      <w:r>
        <w:rPr>
          <w:b w:val="false"/>
          <w:bCs w:val="false"/>
          <w:i w:val="false"/>
          <w:iCs w:val="false"/>
          <w:color w:val="1F2937"/>
          <w:sz w:val="22"/>
          <w:szCs w:val="22"/>
        </w:rPr>
        <w:t xml:space="preserve">Loads the BIOM / metadata / tree triple and chooses the dataset domain (bacteria vs. fungi), which selects which functional / phenotype panels are enabled.</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Dataset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bacteria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Bacteria (16S rRNA) / Fungi (ITS)</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Bacteria enables Tax4Fun + BugBase; Fungi enables FunGuild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bl>
    <w:p>
      <w:pPr>
        <w:pStyle w:val="Heading2"/>
        <w:spacing w:after="160" w:before="320"/>
      </w:pPr>
      <w:r>
        <w:rPr>
          <w:b/>
          <w:bCs/>
          <w:color w:val="2E75B6"/>
          <w:sz w:val="30"/>
          <w:szCs w:val="30"/>
        </w:rPr>
        <w:t xml:space="preserve">3.2 Filter Panel</w:t>
      </w:r>
    </w:p>
    <w:p>
      <w:pPr>
        <w:spacing w:after="80" w:before="80"/>
      </w:pPr>
      <w:r>
        <w:rPr>
          <w:b w:val="false"/>
          <w:bCs w:val="false"/>
          <w:i w:val="false"/>
          <w:iCs w:val="false"/>
          <w:color w:val="1F2937"/>
          <w:sz w:val="22"/>
          <w:szCs w:val="22"/>
        </w:rPr>
        <w:t xml:space="preserve">Removes unwanted taxa and low-abundance features and optionally normalises sample depth. The filtered phyloseq object is the canonical input for every other downstream panel.</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 reads / counts (x &gt;)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Per-ASV minimum count threshold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 % of samples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0–100, step 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ASV must exceed the count threshold in at least this % of samples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Normalize to median sequencing depth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false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Optional median-depth scaling</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Taxonomy rank (custom exclusion)</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Genus</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Kingdom / Phylum / Class / Order / Family / Genus</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Browse data by taxonomic rank to exclude specific taxa</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3.3 Rarefaction Panel</w:t>
      </w:r>
    </w:p>
    <w:p>
      <w:pPr>
        <w:spacing w:after="80" w:before="80"/>
      </w:pPr>
      <w:r>
        <w:rPr>
          <w:b w:val="false"/>
          <w:bCs w:val="false"/>
          <w:i w:val="false"/>
          <w:iCs w:val="false"/>
          <w:color w:val="1F2937"/>
          <w:sz w:val="22"/>
          <w:szCs w:val="22"/>
        </w:rPr>
        <w:t xml:space="preserve">Subsamples each sample to a chosen depth so alpha-diversity comparisons are not biased by sequencing-effort differences.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Rarefaction depth (% of min reads)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90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10–100, step 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Rarefaction depth as a percentage of the smallest sample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Width / Height / Units / DPI</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10/6/in/300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 / ≥1 / in cm px / 100–1200, step 50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PNG download dimensions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3.4 Alpha Diversity Panel</w:t>
      </w:r>
    </w:p>
    <w:p>
      <w:pPr>
        <w:spacing w:after="80" w:before="80"/>
      </w:pPr>
      <w:r>
        <w:rPr>
          <w:b w:val="false"/>
          <w:bCs w:val="false"/>
          <w:i w:val="false"/>
          <w:iCs w:val="false"/>
          <w:color w:val="1F2937"/>
          <w:sz w:val="22"/>
          <w:szCs w:val="22"/>
        </w:rPr>
        <w:t xml:space="preserve">Uses the rarefied table from Section 3.3 to compute richness / evenness metrics. Aesthetic and metric changes update the plot live.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X-axis group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default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as in metadata / alpha / median / custom</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Reorder facets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Alpha-diversity metric</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Shannon</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Observed / Chao1 / ACE / Shannon / Simpson / InvSimpson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Diversity index</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Comparison mode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manual</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manual / auto</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Specific pairs vs. all-pairwise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Show brackets (significant only)</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Significance brackets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Significance cutoff (α)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0.001–0.5, step 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Bracket significance threshold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Show overall p-value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Global Kruskal-Wallis p</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Color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Paired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All RColorBrewer palettes</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Group colour scheme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Base font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8–24</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Axis label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8–24</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X-axis label angle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45°</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0–180, step 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X-axis label / Y-axis label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Sample Group / —</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Text</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Free-text axis titles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Boxplot width</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0.6</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0.1–1.0, step 0.05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Jitter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1–5,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Legend position</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right</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right / left / top / bottom / none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Width / Height / Units / DPI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 / 6 / in / 300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 / ≥1 / in cm px / 100–1200</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Download dimensions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3.5 Beta Diversity Panel</w:t>
      </w:r>
    </w:p>
    <w:p>
      <w:pPr>
        <w:spacing w:after="80" w:before="80"/>
      </w:pPr>
      <w:r>
        <w:rPr>
          <w:b w:val="false"/>
          <w:bCs w:val="false"/>
          <w:i w:val="false"/>
          <w:iCs w:val="false"/>
          <w:color w:val="1F2937"/>
          <w:sz w:val="22"/>
          <w:szCs w:val="22"/>
        </w:rPr>
        <w:t xml:space="preserve">Beta-diversity ordination (PCoA / NMDS) plus PERMANOVA significance testing. Bray-Curtis is the default distance.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Ordination method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PCoA</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PCoA (metric MDS) / NMDS</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Multidimensional projection</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Distance method</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bray</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Bray-Curtis / Weighted UniFrac / Unweighted UniFrac / Jaccard / Euclidean</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Distance metric</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Show confidence ellipses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Per-group ellipses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Point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3</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1–5, step 0.5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Color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Set1 / Dark2 / Paired / Spectral / Viridis</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Base / axis label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14 / 12</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8–24 / 8–24</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X / Y axis angle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45° / 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0–180, step 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Legend position</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right</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right / left / top / bottom / none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Legend columns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Width / Height / Units / DPI</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 / 6 / in / 300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 / ≥1 / in cm px / 100–1200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Download dimensions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3.6 DESeq2 Panel</w:t>
      </w:r>
    </w:p>
    <w:p>
      <w:pPr>
        <w:spacing w:after="80" w:before="80"/>
      </w:pPr>
      <w:r>
        <w:rPr>
          <w:b w:val="false"/>
          <w:bCs w:val="false"/>
          <w:i w:val="false"/>
          <w:iCs w:val="false"/>
          <w:color w:val="1F2937"/>
          <w:sz w:val="22"/>
          <w:szCs w:val="22"/>
        </w:rPr>
        <w:t xml:space="preserve">Differential abundance via DESeq2 negative-binomial Wald tests with FDR adjustment. Produces a labelled volcano plot.</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Log2 fold-change cutoff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Effect-size threshold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Adjusted p-value cutoff</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0.05</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 step 0.01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FDR threshold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Plot title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DESeq2 Volcano Plot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Text</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Point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3</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0.5–5, step 0.5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Labels: top N by 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0–100,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Label font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3.2</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1–10, step 0.2</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Label opacity (0–1)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0.1–1, step 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Label significant ASVs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Show reference ↔ comparison arrows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Reference / Comparison / NS colors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#1f77b4 / #d62728 / #BFC4C9</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Volcano colors per direction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3.7 ANCOM-BC Panel</w:t>
      </w:r>
    </w:p>
    <w:p>
      <w:pPr>
        <w:spacing w:after="80" w:before="80"/>
      </w:pPr>
      <w:r>
        <w:rPr>
          <w:b w:val="false"/>
          <w:bCs w:val="false"/>
          <w:i w:val="false"/>
          <w:iCs w:val="false"/>
          <w:color w:val="1F2937"/>
          <w:sz w:val="22"/>
          <w:szCs w:val="22"/>
        </w:rPr>
        <w:t xml:space="preserve">Compositional differential abundance with bias correction (Lin &amp; Peddada 2020). Provides unbiased log-fold changes that account for sampling-fraction differences.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Significance level 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0.05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0.001–0.2, step 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FDR-adjusted significance threshold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Log2 fold-change cutoff</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0–6, step 0.5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biologically meaningful effect</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Detect structural zeros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false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Identify and handle structural zeros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Plot title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ANCOM-BC Differential Abundance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Text</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Point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0.5–6,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Labels: top N by p</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15</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0–100,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Label font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1–10, step 0.2</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Base font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12</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8–18,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Label significant taxa</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3.8 Random Forest Panel</w:t>
      </w:r>
    </w:p>
    <w:p>
      <w:pPr>
        <w:spacing w:after="80" w:before="80"/>
      </w:pPr>
      <w:r>
        <w:rPr>
          <w:b w:val="false"/>
          <w:bCs w:val="false"/>
          <w:i w:val="false"/>
          <w:iCs w:val="false"/>
          <w:color w:val="1F2937"/>
          <w:sz w:val="22"/>
          <w:szCs w:val="22"/>
        </w:rPr>
        <w:t xml:space="preserve">Supervised classification with feature importance and optional expert-grade validation (held-out test set, repeated k-fold CV, bootstrap stability).</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Taxonomy level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ASV</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ASV / Genus / Family / Order / Class / Phylum</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Aggregation level for classification</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Number of trees (ntree)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1000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≥100, step 100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Forest size</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Features per split (mtry, 0=auto=√p)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Per-split feature subset</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Number of top features to display</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 step 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Top features in importance plot</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Held-out test fraction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0.25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0.1–0.5, step 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Independent validation set size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CV folds (k)</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2–10,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Cross-validation folds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CV repeats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1–50,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Repeats of k-fold CV</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Feature-stability bootstraps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10–500, step 10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Bootstrap importance resamples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Relative-abundance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Set1 / Set2 / Set3 / Paired / Dark2 / Accent</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Boxplot palette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Reference / Comparison colours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#1f77b4 / #d62728</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Importance plot colours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3.9 LEfSe Panel</w:t>
      </w:r>
    </w:p>
    <w:p>
      <w:pPr>
        <w:spacing w:after="80" w:before="80"/>
      </w:pPr>
      <w:r>
        <w:rPr>
          <w:b w:val="false"/>
          <w:bCs w:val="false"/>
          <w:i w:val="false"/>
          <w:iCs w:val="false"/>
          <w:color w:val="1F2937"/>
          <w:sz w:val="22"/>
          <w:szCs w:val="22"/>
        </w:rPr>
        <w:t xml:space="preserve">LDA Effect Size — Kruskal-Wallis + pairwise Wilcoxon plus Linear Discriminant Analysis (Segata et al. 2011) for effect-size ranking.</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Kruskal-Wallis α</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0.001–0.2, step 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Multi-group test threshold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Wilcoxon α</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0.05</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0.001–0.2, step 0.01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Pairwise consistency check threshold</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LDA score cutoff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0–6,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Minimum log10 effect size; 2.0 is the LEfSe standard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Normalisation method</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CSS</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CSS / TSS / CLR / CPM / None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CSS recommended for LEfSe (metagenomeSeq)</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Top features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5–200, step 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Font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6–18,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Color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Set1</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Set1 / Set2 / Dark2 / Paired / Accent / Pastel1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Horizontal bars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3.10 ANCOM-BC + Random Forest Overlap Panel</w:t>
      </w:r>
    </w:p>
    <w:p>
      <w:pPr>
        <w:spacing w:after="80" w:before="80"/>
      </w:pPr>
      <w:r>
        <w:rPr>
          <w:b w:val="false"/>
          <w:bCs w:val="false"/>
          <w:i w:val="false"/>
          <w:iCs w:val="false"/>
          <w:color w:val="1F2937"/>
          <w:sz w:val="22"/>
          <w:szCs w:val="22"/>
        </w:rPr>
        <w:t xml:space="preserve">Intersects ASVs flagged by ANCOM-BC (compositional differential abundance) and Random Forest (classification importance) for higher-confidence biomarker selection.</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ANCOM-BC adjusted p-value cutoff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 step 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ANCOM-BC |log2 fold change| cutoff</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 step 0.25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Random Forest: top-N by Gini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 step 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Non-significant colour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#7F8C8D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Scatter plot colour</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Enriched (below Gini cut) colour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#8E44AD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Scatter plot colour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Reference-enriched top colour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#1f77b4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Comparison-enriched top colour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#E74C3C</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Point size / label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2.4 / 3.1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0.5–10, step 0.2 / 1–10, step 0.1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Label opacity / Show point labels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 / 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0.1–1, step 0.1 / 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3.11 DESeq2 + Random Forest Overlap Panel</w:t>
      </w:r>
    </w:p>
    <w:p>
      <w:pPr>
        <w:spacing w:after="80" w:before="80"/>
      </w:pPr>
      <w:r>
        <w:rPr>
          <w:b w:val="false"/>
          <w:bCs w:val="false"/>
          <w:i w:val="false"/>
          <w:iCs w:val="false"/>
          <w:color w:val="1F2937"/>
          <w:sz w:val="22"/>
          <w:szCs w:val="22"/>
        </w:rPr>
        <w:t xml:space="preserve">Intersects ASVs flagged by DESeq2 and Random Forest. Same downstream UI as the ANCOM-BC + RF panel.</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DESeq2 adjusted p-value cutoff</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 step 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DESeq2 |log2 fold change| cutoff</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 step 0.25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Random Forest: top-N by Gini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 step 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Non-significant colour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#7F8C8D</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Scatter plot colour</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Enriched (below Gini cut) colour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#228B22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Scatter plot colour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Reference-enriched top colour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#1f77b4</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Comparison-enriched top colour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#E74C3C</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Point size / label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2.4 / 3.1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0.5–10, step 0.2 / 1–10, step 0.1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Label opacity / Show point labels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 / 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0.1–1, step 0.1 / 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3.12 Network Analysis Panel</w:t>
      </w:r>
    </w:p>
    <w:p>
      <w:pPr>
        <w:spacing w:after="80" w:before="80"/>
      </w:pPr>
      <w:r>
        <w:rPr>
          <w:b w:val="false"/>
          <w:bCs w:val="false"/>
          <w:i w:val="false"/>
          <w:iCs w:val="false"/>
          <w:color w:val="1F2937"/>
          <w:sz w:val="22"/>
          <w:szCs w:val="22"/>
        </w:rPr>
        <w:t xml:space="preserve">Builds correlation networks per group and compares topology with degree, betweenness, closeness, and eigenvector centrality.</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Network method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Spearman</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Pearson / Spearman / SparCC (compositional)</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Edge correlation method</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Network layout</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layout_with_fr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Fruchterman-Reingold / Kamada-Kawai / Graphopt / DrL / LGL / DH / GEM / Circle / Grid / Sphere / Star / Nicely / MDS / Components</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igraph layout</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FR iterations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50–5000, step 50</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Higher = better spread but slower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Node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5</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1–20, step 0.5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Border width</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0–5, step 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Node fill / border colour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#DAA520 / #333333</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Node appearance</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Edge width / curvature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0.6 / 0.2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0.1–5, step 0.1 / 0–0.8, step 0.05</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Positive / negative edge colours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#27AE60 / #E74C3C</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Color picker</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Edge appearance</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3.13 BugBase Phenotype Prediction Panel</w:t>
      </w:r>
    </w:p>
    <w:p>
      <w:pPr>
        <w:spacing w:after="80" w:before="80"/>
      </w:pPr>
      <w:r>
        <w:rPr>
          <w:b w:val="false"/>
          <w:bCs w:val="false"/>
          <w:i w:val="false"/>
          <w:iCs w:val="false"/>
          <w:color w:val="1F2937"/>
          <w:sz w:val="22"/>
          <w:szCs w:val="22"/>
        </w:rPr>
        <w:t xml:space="preserve">Predicts organism-level microbiome phenotypes (Gram staining, oxygen tolerance, pathogenicity, biofilm, etc.) from 16S taxonomy (Ward et al. 2017).</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Phenotypes to predict</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gram_positive, gram_negative, aerobic, anaerobic, biofilm_forming, pathogenic</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Multi-select from 9 traits</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Phenotypes derived from organism-level trait databases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 trait coverage (%)</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10</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0–100, step 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 of taxa with trait annotations to keep a sample</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Plot type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boxplot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boxplot / barplot / heatmap</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Colour palette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Set2</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Set2 / Dark2 / Paired / Set1 / Set3 / Pastel1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Legend position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bottom</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bottom / top / right / left / none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Font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12</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6–20, step 1</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Plot height (px)</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550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300–1200, step 50</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Show data points / p-values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Boxplot only</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Z-score scale rows / cluster samples / aggregate by group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true / 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Heatmap only</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3.14 FunGuild Panel</w:t>
      </w:r>
    </w:p>
    <w:p>
      <w:pPr>
        <w:spacing w:after="80" w:before="80"/>
      </w:pPr>
      <w:r>
        <w:rPr>
          <w:b w:val="false"/>
          <w:bCs w:val="false"/>
          <w:i w:val="false"/>
          <w:iCs w:val="false"/>
          <w:color w:val="1F2937"/>
          <w:sz w:val="22"/>
          <w:szCs w:val="22"/>
        </w:rPr>
        <w:t xml:space="preserve">Assigns ecological guilds (saprotroph, pathotroph, symbiotroph) to fungal taxa using FunGuild (Nguyen et al. 2016). Designed for ITS data.</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Taxonomy level for matching</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Genus</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Genus / Species / Family</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Database matching rank</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Trophic mode filter</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all</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All / Saprotroph / Pathotroph / Symbiotroph</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Minimum confidence rank</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Possible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Possible / Probable / Highly Probable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FunGuild assignment confidence</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Group comparison test</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kruskal</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Kruskal-Wallis / Wilcoxon (2 groups) / None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Statistical test</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P-value threshold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0.05</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0.001–0.1, step 0.01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Significance cutoff</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Plot type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stacked_bar</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Stacked bar / Grouped bar / Box plot / Heatmap</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Colour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Set2</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Set2 / Set3 / Dark2 / Set1 / Paired / Accent / Pastel1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Font size / Top guilds shown</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12 / 15</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8–20 / 3–50</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Show data points / p-values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Box plot only</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Heatmap controls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true / 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Z-score / cluster / aggregate (heatmap only)</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3.15 Tax4Fun2 Functional Prediction Panel</w:t>
      </w:r>
    </w:p>
    <w:p>
      <w:pPr>
        <w:spacing w:after="80" w:before="80"/>
      </w:pPr>
      <w:r>
        <w:rPr>
          <w:b w:val="false"/>
          <w:bCs w:val="false"/>
          <w:i w:val="false"/>
          <w:iCs w:val="false"/>
          <w:color w:val="1F2937"/>
          <w:sz w:val="22"/>
          <w:szCs w:val="22"/>
        </w:rPr>
        <w:t xml:space="preserve">Predicts KEGG functional profiles from 16S taxonomy (Aßhauer et al. 2015). Requires only the ASV table + taxonomy.</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Reference folder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(blank = auto)</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Text path</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Custom Tax4Fun reference folder</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Functional level</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pathway</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KEGG KO / KEGG Pathway</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Per-gene vs. pathway aggregation</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Top functions to display</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10–500, step 10</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Copy-number normalize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Correct for 16S copy-number differences</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Sample normalize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Scale each sample to relative abundances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Colour palette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YlGnBu</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YlGnBu / RdBu / YlOrRd / Blues / Greens / Reds / Viridis / Magma</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Font size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9</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5–18, step 1</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Cluster rows / cols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Heatmap clustering</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Z-score rows / annotate group strip</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true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Heatmap layout</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Average replicates by group</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true / false</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Pre-aggregate samples by group</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bl>
    <w:p>
      <w:pPr>
        <w:pStyle w:val="Heading2"/>
        <w:spacing w:after="160" w:before="320"/>
      </w:pPr>
      <w:r>
        <w:rPr>
          <w:b/>
          <w:bCs/>
          <w:color w:val="2E75B6"/>
          <w:sz w:val="30"/>
          <w:szCs w:val="30"/>
        </w:rPr>
        <w:t xml:space="preserve">3.16 Relative Abundance Panel</w:t>
      </w:r>
    </w:p>
    <w:p>
      <w:pPr>
        <w:spacing w:after="80" w:before="80"/>
      </w:pPr>
      <w:r>
        <w:rPr>
          <w:b w:val="false"/>
          <w:bCs w:val="false"/>
          <w:i w:val="false"/>
          <w:iCs w:val="false"/>
          <w:color w:val="1F2937"/>
          <w:sz w:val="22"/>
          <w:szCs w:val="22"/>
        </w:rPr>
        <w:t xml:space="preserve">Visualises community composition at any taxonomic rank with grouped or facetted bar charts.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1300"/>
        <w:gridCol w:w="2700"/>
        <w:gridCol w:w="2200"/>
        <w:gridCol w:w="3300"/>
        <w:gridCol w:w="3550"/>
        <w:gridCol w:w="1062"/>
      </w:tblGrid>
      <w:tr>
        <w:trPr>
          <w:tblHeader/>
        </w:trPr>
        <w:tc>
          <w:tcPr>
            <w:tcW w:type="dxa" w:w="1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Section</w:t>
            </w:r>
          </w:p>
        </w:tc>
        <w:tc>
          <w:tcPr>
            <w:tcW w:type="dxa" w:w="27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w:t>
            </w:r>
          </w:p>
        </w:tc>
        <w:tc>
          <w:tcPr>
            <w:tcW w:type="dxa" w:w="22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Easy-mode default</w:t>
            </w:r>
          </w:p>
        </w:tc>
        <w:tc>
          <w:tcPr>
            <w:tcW w:type="dxa" w:w="33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Expert-mode range / options</w:t>
            </w:r>
          </w:p>
        </w:tc>
        <w:tc>
          <w:tcPr>
            <w:tcW w:type="dxa" w:w="355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Description</w:t>
            </w:r>
          </w:p>
        </w:tc>
        <w:tc>
          <w:tcPr>
            <w:tcW w:type="dxa" w:w="106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Visibility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Data source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normalized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normalized / filtered (counts)</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Whether to use normalized or raw filtered counts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Taxonomic level</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Phylum</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Phylum / Class / Order / Family / Genus</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X-axis order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default</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as in metadata / alpha / total abundance / custom</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Sample ordering</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Easy + Expert</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Controls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Minimum relative abundance (%)</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0–100, step 0.5</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Pool everything below into "Other"</w:t>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Colour palette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Paired</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All RColorBrewer palettes</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Base / axis label size</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14 / 12</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8–24 / 8–24</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X-axis label angle / X-axis label / Y-axis label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90° / Sample Group / Relative Abundance</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0–180, step 5 / Text / Text</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Legend position / columns</w:t>
            </w:r>
          </w:p>
        </w:tc>
        <w:tc>
          <w:tcPr>
            <w:tcW w:type="dxa" w:w="22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right / 1</w:t>
            </w:r>
          </w:p>
        </w:tc>
        <w:tc>
          <w:tcPr>
            <w:tcW w:type="dxa" w:w="33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right / left / top / bottom / none / 1–6</w:t>
            </w:r>
          </w:p>
        </w:tc>
        <w:tc>
          <w:tcPr>
            <w:tcW w:type="dxa" w:w="355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
            </w:r>
          </w:p>
        </w:tc>
        <w:tc>
          <w:tcPr>
            <w:tcW w:type="dxa" w:w="106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Expert only</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Aesthetics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Width / Height / Units / DPI</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 / 6 / in / 300</w:t>
            </w:r>
          </w:p>
        </w:tc>
        <w:tc>
          <w:tcPr>
            <w:tcW w:type="dxa" w:w="3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 / ≥1 / in cm px / 100–1200</w:t>
            </w:r>
          </w:p>
        </w:tc>
        <w:tc>
          <w:tcPr>
            <w:tcW w:type="dxa" w:w="355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Download dimensions</w:t>
            </w:r>
          </w:p>
        </w:tc>
        <w:tc>
          <w:tcPr>
            <w:tcW w:type="dxa" w:w="106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Expert only</w:t>
            </w:r>
          </w:p>
        </w:tc>
      </w:tr>
    </w:tbl>
    <w:p>
      <w:r>
        <w:br w:type="page"/>
      </w:r>
    </w:p>
    <w:p>
      <w:pPr>
        <w:pStyle w:val="Heading1"/>
        <w:spacing w:after="200" w:before="360"/>
      </w:pPr>
      <w:r>
        <w:rPr>
          <w:b/>
          <w:bCs/>
          <w:color w:val="1F3A5F"/>
          <w:sz w:val="36"/>
          <w:szCs w:val="36"/>
        </w:rPr>
        <w:t xml:space="preserve">4. Plugin and Database Versions</w:t>
      </w:r>
    </w:p>
    <w:p>
      <w:pPr>
        <w:spacing w:after="80" w:before="80"/>
      </w:pPr>
      <w:r>
        <w:rPr>
          <w:b w:val="false"/>
          <w:bCs w:val="false"/>
          <w:i w:val="false"/>
          <w:iCs w:val="false"/>
          <w:color w:val="1F2937"/>
          <w:sz w:val="22"/>
          <w:szCs w:val="22"/>
        </w:rPr>
        <w:t xml:space="preserve">All defaults documented in this report were generated against the following toolchain.</w:t>
      </w:r>
    </w:p>
    <w:p>
      <w:pPr>
        <w:pStyle w:val="Heading3"/>
        <w:spacing w:after="120" w:before="240"/>
      </w:pPr>
      <w:r>
        <w:rPr>
          <w:b/>
          <w:bCs/>
          <w:color w:val="4472C4"/>
          <w:sz w:val="26"/>
          <w:szCs w:val="26"/>
        </w:rPr>
        <w:t xml:space="preserve">4.1 Core software</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gridCol w:w="5112"/>
      </w:tblGrid>
      <w:tr>
        <w:trPr>
          <w:tblHeader/>
        </w:trPr>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Component</w:t>
            </w:r>
          </w:p>
        </w:tc>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Version</w:t>
            </w:r>
          </w:p>
        </w:tc>
        <w:tc>
          <w:tcPr>
            <w:tcW w:type="dxa" w:w="511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Role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EzMAP v2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2.0</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Main framework (Java + R Shiny)</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QIIME 2</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2024.10+</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Upstream pipeline orchestration</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 (QIIME 2 plugin)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1.28+</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Default ASV denoiser</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Deblur (QIIME 2 plugin)</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1.1+</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Alternative denoiser</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Cutadapt (QIIME 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4.9+</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Primer / adapter removal</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VSEARCH</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2.22+</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OTU clustering, chimera removal, paired-read merging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MAFFT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7.520+</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Multiple sequence alignment</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FastTree</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2.1.11+</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Phylogeny inference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scikit-learn</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0.24+</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Naive Bayes classifier</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R</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4.2+</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Downstream analysis runtime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 Shiny</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1.7+</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Web UI</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Java</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11+</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Upstream wizard runtime</w:t>
            </w:r>
          </w:p>
        </w:tc>
      </w:tr>
    </w:tbl>
    <w:p>
      <w:pPr>
        <w:pStyle w:val="Heading3"/>
        <w:spacing w:after="120" w:before="240"/>
      </w:pPr>
      <w:r>
        <w:rPr>
          <w:b/>
          <w:bCs/>
          <w:color w:val="4472C4"/>
          <w:sz w:val="26"/>
          <w:szCs w:val="26"/>
        </w:rPr>
        <w:t xml:space="preserve">4.2 Reference taxonomy databases</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gridCol w:w="5112"/>
      </w:tblGrid>
      <w:tr>
        <w:trPr>
          <w:tblHeader/>
        </w:trPr>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Database</w:t>
            </w:r>
          </w:p>
        </w:tc>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Version</w:t>
            </w:r>
          </w:p>
        </w:tc>
        <w:tc>
          <w:tcPr>
            <w:tcW w:type="dxa" w:w="511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Notes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SILVA</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138.2</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16S / 18S; SSURef NR99 (~610 MB)</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Greengenes2</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2024.09</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16S; WoL2 phylogeny (~180 MB)</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UNITE</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10.0</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ITS; species-hypothesis clustering</w:t>
            </w:r>
          </w:p>
        </w:tc>
      </w:tr>
    </w:tbl>
    <w:p>
      <w:pPr>
        <w:pStyle w:val="Heading3"/>
        <w:spacing w:after="120" w:before="240"/>
      </w:pPr>
      <w:r>
        <w:rPr>
          <w:b/>
          <w:bCs/>
          <w:color w:val="4472C4"/>
          <w:sz w:val="26"/>
          <w:szCs w:val="26"/>
        </w:rPr>
        <w:t xml:space="preserve">4.3 Key R packages (downstream)</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gridCol w:w="5112"/>
      </w:tblGrid>
      <w:tr>
        <w:trPr>
          <w:tblHeader/>
        </w:trPr>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Package</w:t>
            </w:r>
          </w:p>
        </w:tc>
        <w:tc>
          <w:tcPr>
            <w:tcW w:type="dxa" w:w="4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Version</w:t>
            </w:r>
          </w:p>
        </w:tc>
        <w:tc>
          <w:tcPr>
            <w:tcW w:type="dxa" w:w="511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Role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phyloseq</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1.44+</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Core data structure</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vegan</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2.6+</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Diversity, distance, PERMANOVA</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DESeq2</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1.40+</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Differential abundance (negative binomial)</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ANCOMBC</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2.0+ / native</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Compositional differential abundance</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randomForest</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4.7+</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Classification + feature importance</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microbiome</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1.22+</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Aggregation utilities</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igraph</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2.0+</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Network construction and centrality</w:t>
            </w:r>
          </w:p>
        </w:tc>
      </w:tr>
      <w:tr>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ggplot2</w:t>
            </w:r>
          </w:p>
        </w:tc>
        <w:tc>
          <w:tcPr>
            <w:tcW w:type="dxa" w:w="4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3.4+</w:t>
            </w:r>
          </w:p>
        </w:tc>
        <w:tc>
          <w:tcPr>
            <w:tcW w:type="dxa" w:w="51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Plotting</w:t>
            </w:r>
          </w:p>
        </w:tc>
      </w:tr>
      <w:tr>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metagenomeSeq</w:t>
            </w:r>
          </w:p>
        </w:tc>
        <w:tc>
          <w:tcPr>
            <w:tcW w:type="dxa" w:w="4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1.43+</w:t>
            </w:r>
          </w:p>
        </w:tc>
        <w:tc>
          <w:tcPr>
            <w:tcW w:type="dxa" w:w="51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CSS normalisation (LEfSe / Beta)</w:t>
            </w:r>
          </w:p>
        </w:tc>
      </w:tr>
    </w:tbl>
    <w:p>
      <w:r>
        <w:br w:type="page"/>
      </w:r>
    </w:p>
    <w:p>
      <w:pPr>
        <w:pStyle w:val="Heading1"/>
        <w:spacing w:after="200" w:before="360"/>
      </w:pPr>
      <w:r>
        <w:rPr>
          <w:b/>
          <w:bCs/>
          <w:color w:val="1F3A5F"/>
          <w:sz w:val="36"/>
          <w:szCs w:val="36"/>
        </w:rPr>
        <w:t xml:space="preserve">5. Parameter Rationale and Evidence Base</w:t>
      </w:r>
    </w:p>
    <w:p>
      <w:pPr>
        <w:spacing w:after="80" w:before="80"/>
      </w:pPr>
      <w:r>
        <w:rPr>
          <w:b w:val="false"/>
          <w:bCs w:val="false"/>
          <w:i w:val="false"/>
          <w:iCs w:val="false"/>
          <w:color w:val="1F2937"/>
          <w:sz w:val="22"/>
          <w:szCs w:val="22"/>
        </w:rPr>
        <w:t xml:space="preserve">Easy-mode defaults are not benchmark-specific tunings — they are the parameter values most consistently recommended in the QIIME 2 documentation and peer-reviewed methodology literature for typical 16S, 18S, and ITS amplicon datasets. Each default below cites the study or QIIME 2 tutorial that motivates it.</w:t>
      </w:r>
    </w:p>
    <w:tbl>
      <w:tblPr>
        <w:tblW w:type="dxa" w:w="14112"/>
        <w:tblBorders>
          <w:top w:val="single" w:color="auto" w:sz="4"/>
          <w:left w:val="single" w:color="auto" w:sz="4"/>
          <w:bottom w:val="single" w:color="auto" w:sz="4"/>
          <w:right w:val="single" w:color="auto" w:sz="4"/>
          <w:insideH w:val="single" w:color="auto" w:sz="4"/>
          <w:insideV w:val="single" w:color="auto" w:sz="4"/>
        </w:tblBorders>
      </w:tblPr>
      <w:tblGrid>
        <w:gridCol w:w="3500"/>
        <w:gridCol w:w="3000"/>
        <w:gridCol w:w="7612"/>
      </w:tblGrid>
      <w:tr>
        <w:trPr>
          <w:tblHeader/>
        </w:trPr>
        <w:tc>
          <w:tcPr>
            <w:tcW w:type="dxa" w:w="35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Parameter (default)</w:t>
            </w:r>
          </w:p>
        </w:tc>
        <w:tc>
          <w:tcPr>
            <w:tcW w:type="dxa" w:w="3000"/>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Source</w:t>
            </w:r>
          </w:p>
        </w:tc>
        <w:tc>
          <w:tcPr>
            <w:tcW w:type="dxa" w:w="7612"/>
            <w:tcBorders>
              <w:top w:val="single" w:color="CCCCCC" w:sz="1"/>
              <w:left w:val="single" w:color="CCCCCC" w:sz="1"/>
              <w:bottom w:val="single" w:color="CCCCCC" w:sz="1"/>
              <w:right w:val="single" w:color="CCCCCC" w:sz="1"/>
            </w:tcBorders>
            <w:shd w:fill="D5E8F0" w:color="auto" w:val="clear"/>
            <w:tcMar>
              <w:top w:type="dxa" w:w="80"/>
              <w:left w:type="dxa" w:w="120"/>
              <w:bottom w:type="dxa" w:w="80"/>
              <w:right w:type="dxa" w:w="120"/>
            </w:tcMar>
          </w:tcPr>
          <w:p>
            <w:pPr>
              <w:jc w:val="left"/>
            </w:pPr>
            <w:r>
              <w:rPr>
                <w:b/>
                <w:bCs/>
                <w:color w:val="1F3A5F"/>
                <w:sz w:val="20"/>
                <w:szCs w:val="20"/>
              </w:rPr>
              <w:t xml:space="preserve">Justification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Confidence threshold = 0.7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Bokulich et al. 2018 (Microbiome 6:90)</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Optimal precision/recall trade-off for Naive Bayes taxonomy assignment across 16S/18S amplicons.</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Chimera method = consensus</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Callahan et al. 2016 (Nature Methods 13:581)</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Per-sample detection plus cross-sample voting. Robust against false positives compared to pooled / none.</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Max expected errors = 2.0 (DADA2)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 default (Callahan et al. 2016)</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Filters poor-quality reads while retaining usable data for ASV inference.</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Smart Trim (quality-driven truncation)</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QIIME 2 Moving Pictures + Atacama tutorials; Schirmer et al. 2015 (NAR 43:e37)</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Per-base quality analysis is preferred over hard-coded truncation. Q25 forward / Q20 reverse accommodates the faster reverse-read decay.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DADA2 as default denoiser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Callahan et al. 2017 (ISME J 11:2639)</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Single-nucleotide-resolution ASVs are now the standard alternative to OTUs.</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Primer removal before denoising</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QIIME 2 documentation</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Cutadapt before denoising prevents primer heterogeneity inflating ASV counts.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Naive Bayes classifier (sklearn)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Bokulich et al. 2018</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Region-specific Naive Bayes outperforms BLAST and VSEARCH classifiers across 16S regions.</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DESeq2 thresholds (padj &lt; 0.05, |log2FC| &gt; 1)</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Love et al. 2014 (Genome Biol 15:550)</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Standard transcriptomics thresholds; avoid statistically significant but biologically negligible effects.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ANCOM-BC α = 0.05, |log2FC| &gt; 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Lin &amp; Peddada 2020 (Nature Communications 11:3514)</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Default thresholds for compositionally-corrected differential abundance.</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LDA cutoff = 2.0</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Segata et al. 2011 (Genome Biol 12:R60)</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Standard LEfSe cut for medium-effect biomarkers; raise to 3.0–4.0 for stricter calls.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Random Forest top-N = 20 (Easy)</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Breiman 2001 (Machine Learning 45:5)</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Trade-off between feature ranking stability and visualisation legibility for ASV-level data.</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Network method = Spearman</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Friedman &amp; Alm 2012 (PLOS Comput Biol 8:e1002687)</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Compositionality-aware monotonic correlation; SparCC is offered for fully compositional analyses.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CSS normalisation for LEfSe / Beta</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Paulson et al. 2013 (Nat Methods 10:1200)</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Cumulative-sum scaling adjusts for under-sampling without distorting differential abundance signals.</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BugBase phenotype set</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Ward et al. 2017 (bioRxiv 133462)</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Default phenotypes (gram, oxygen tolerance, biofilm, pathogenicity) cover the most-cited organism-level traits.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FunGuild confidence ≥ Possible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Nguyen et al. 2016 (Fungal Ecology 20:241)</w:t>
            </w:r>
          </w:p>
        </w:tc>
        <w:tc>
          <w:tcPr>
            <w:tcW w:type="dxa" w:w="7612"/>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b w:val="false"/>
                <w:bCs w:val="false"/>
                <w:color w:val="1F2937"/>
                <w:sz w:val="20"/>
                <w:szCs w:val="20"/>
              </w:rPr>
              <w:t xml:space="preserve">Includes higher-rank assignments; raise to Probable / Highly Probable for stricter ITS analyses.</w:t>
            </w:r>
          </w:p>
        </w:tc>
      </w:tr>
      <w:tr>
        <w:tc>
          <w:tcPr>
            <w:tcW w:type="dxa" w:w="35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Tax4Fun functional level = Pathway</w:t>
            </w:r>
          </w:p>
        </w:tc>
        <w:tc>
          <w:tcPr>
            <w:tcW w:type="dxa" w:w="3000"/>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Aßhauer et al. 2015 (Bioinformatics 31:2882)</w:t>
            </w:r>
          </w:p>
        </w:tc>
        <w:tc>
          <w:tcPr>
            <w:tcW w:type="dxa" w:w="7612"/>
            <w:tcBorders>
              <w:top w:val="single" w:color="CCCCCC" w:sz="1"/>
              <w:left w:val="single" w:color="CCCCCC" w:sz="1"/>
              <w:bottom w:val="single" w:color="CCCCCC" w:sz="1"/>
              <w:right w:val="single" w:color="CCCCCC" w:sz="1"/>
            </w:tcBorders>
            <w:shd w:fill="F4F8FB" w:color="auto" w:val="clear"/>
            <w:tcMar>
              <w:top w:type="dxa" w:w="80"/>
              <w:left w:type="dxa" w:w="120"/>
              <w:bottom w:type="dxa" w:w="80"/>
              <w:right w:type="dxa" w:w="120"/>
            </w:tcMar>
          </w:tcPr>
          <w:p>
            <w:pPr>
              <w:jc w:val="left"/>
            </w:pPr>
            <w:r>
              <w:rPr>
                <w:b w:val="false"/>
                <w:bCs w:val="false"/>
                <w:color w:val="1F2937"/>
                <w:sz w:val="20"/>
                <w:szCs w:val="20"/>
              </w:rPr>
              <w:t xml:space="preserve">Pathway-level summarisation is the default for 16S-based functional profiling; KEGG-KO is exposed for finer resolution.</w:t>
            </w:r>
          </w:p>
        </w:tc>
      </w:tr>
    </w:tbl>
    <w:p>
      <w:pPr>
        <w:pStyle w:val="Heading3"/>
        <w:spacing w:after="120" w:before="240"/>
      </w:pPr>
      <w:r>
        <w:rPr>
          <w:b/>
          <w:bCs/>
          <w:color w:val="4472C4"/>
          <w:sz w:val="26"/>
          <w:szCs w:val="26"/>
        </w:rPr>
        <w:t xml:space="preserve">5.1 Selected references</w:t>
      </w:r>
    </w:p>
    <w:p>
      <w:pPr>
        <w:pStyle w:val="ListParagraph"/>
        <w:numPr>
          <w:ilvl w:val="0"/>
          <w:numId w:val="2"/>
        </w:numPr>
        <w:spacing w:after="40" w:before="40"/>
      </w:pPr>
      <w:r>
        <w:rPr>
          <w:color w:val="1F2937"/>
          <w:sz w:val="22"/>
          <w:szCs w:val="22"/>
        </w:rPr>
        <w:t xml:space="preserve">Bolyen E et al. (2019) Reproducible, interactive, scalable and extensible microbiome data science using QIIME 2. Nature Biotechnology 37: 852–857.</w:t>
      </w:r>
    </w:p>
    <w:p>
      <w:pPr>
        <w:pStyle w:val="ListParagraph"/>
        <w:numPr>
          <w:ilvl w:val="0"/>
          <w:numId w:val="2"/>
        </w:numPr>
        <w:spacing w:after="40" w:before="40"/>
      </w:pPr>
      <w:r>
        <w:rPr>
          <w:color w:val="1F2937"/>
          <w:sz w:val="22"/>
          <w:szCs w:val="22"/>
        </w:rPr>
        <w:t xml:space="preserve">Callahan BJ et al. (2016) DADA2: High-resolution sample inference from Illumina amplicon data. Nature Methods 13: 581–583.</w:t>
      </w:r>
    </w:p>
    <w:p>
      <w:pPr>
        <w:pStyle w:val="ListParagraph"/>
        <w:numPr>
          <w:ilvl w:val="0"/>
          <w:numId w:val="2"/>
        </w:numPr>
        <w:spacing w:after="40" w:before="40"/>
      </w:pPr>
      <w:r>
        <w:rPr>
          <w:color w:val="1F2937"/>
          <w:sz w:val="22"/>
          <w:szCs w:val="22"/>
        </w:rPr>
        <w:t xml:space="preserve">Callahan BJ et al. (2017) Exact sequence variants should replace operational taxonomic units in marker-gene data analysis. ISME Journal 11: 2639–2643.</w:t>
      </w:r>
    </w:p>
    <w:p>
      <w:pPr>
        <w:pStyle w:val="ListParagraph"/>
        <w:numPr>
          <w:ilvl w:val="0"/>
          <w:numId w:val="2"/>
        </w:numPr>
        <w:spacing w:after="40" w:before="40"/>
      </w:pPr>
      <w:r>
        <w:rPr>
          <w:color w:val="1F2937"/>
          <w:sz w:val="22"/>
          <w:szCs w:val="22"/>
        </w:rPr>
        <w:t xml:space="preserve">Bokulich NA et al. (2018) Optimizing taxonomic classification of marker-gene amplicon sequences with QIIME 2 q2-feature-classifier. Microbiome 6: 90.</w:t>
      </w:r>
    </w:p>
    <w:p>
      <w:pPr>
        <w:pStyle w:val="ListParagraph"/>
        <w:numPr>
          <w:ilvl w:val="0"/>
          <w:numId w:val="2"/>
        </w:numPr>
        <w:spacing w:after="40" w:before="40"/>
      </w:pPr>
      <w:r>
        <w:rPr>
          <w:color w:val="1F2937"/>
          <w:sz w:val="22"/>
          <w:szCs w:val="22"/>
        </w:rPr>
        <w:t xml:space="preserve">Schirmer M et al. (2015) Insight into biases and sequencing errors for amplicon sequencing with the Illumina MiSeq platform. NAR 43: e37.</w:t>
      </w:r>
    </w:p>
    <w:p>
      <w:pPr>
        <w:pStyle w:val="ListParagraph"/>
        <w:numPr>
          <w:ilvl w:val="0"/>
          <w:numId w:val="2"/>
        </w:numPr>
        <w:spacing w:after="40" w:before="40"/>
      </w:pPr>
      <w:r>
        <w:rPr>
          <w:color w:val="1F2937"/>
          <w:sz w:val="22"/>
          <w:szCs w:val="22"/>
        </w:rPr>
        <w:t xml:space="preserve">Quast C et al. (2013) The SILVA ribosomal RNA gene database project: improved data processing and web-based tools. NAR 41: D590–D596.</w:t>
      </w:r>
    </w:p>
    <w:p>
      <w:pPr>
        <w:pStyle w:val="ListParagraph"/>
        <w:numPr>
          <w:ilvl w:val="0"/>
          <w:numId w:val="2"/>
        </w:numPr>
        <w:spacing w:after="40" w:before="40"/>
      </w:pPr>
      <w:r>
        <w:rPr>
          <w:color w:val="1F2937"/>
          <w:sz w:val="22"/>
          <w:szCs w:val="22"/>
        </w:rPr>
        <w:t xml:space="preserve">Love MI et al. (2014) Moderated estimation of fold change and dispersion for RNA-seq data with DESeq2. Genome Biology 15: 550.</w:t>
      </w:r>
    </w:p>
    <w:p>
      <w:pPr>
        <w:pStyle w:val="ListParagraph"/>
        <w:numPr>
          <w:ilvl w:val="0"/>
          <w:numId w:val="2"/>
        </w:numPr>
        <w:spacing w:after="40" w:before="40"/>
      </w:pPr>
      <w:r>
        <w:rPr>
          <w:color w:val="1F2937"/>
          <w:sz w:val="22"/>
          <w:szCs w:val="22"/>
        </w:rPr>
        <w:t xml:space="preserve">Lin H, Peddada SD (2020) Analysis of compositions of microbiomes with bias correction. Nature Communications 11: 3514.</w:t>
      </w:r>
    </w:p>
    <w:p>
      <w:pPr>
        <w:pStyle w:val="ListParagraph"/>
        <w:numPr>
          <w:ilvl w:val="0"/>
          <w:numId w:val="2"/>
        </w:numPr>
        <w:spacing w:after="40" w:before="40"/>
      </w:pPr>
      <w:r>
        <w:rPr>
          <w:color w:val="1F2937"/>
          <w:sz w:val="22"/>
          <w:szCs w:val="22"/>
        </w:rPr>
        <w:t xml:space="preserve">Segata N et al. (2011) Metagenomic biomarker discovery and explanation. Genome Biology 12: R60.</w:t>
      </w:r>
    </w:p>
    <w:p>
      <w:pPr>
        <w:pStyle w:val="ListParagraph"/>
        <w:numPr>
          <w:ilvl w:val="0"/>
          <w:numId w:val="2"/>
        </w:numPr>
        <w:spacing w:after="40" w:before="40"/>
      </w:pPr>
      <w:r>
        <w:rPr>
          <w:color w:val="1F2937"/>
          <w:sz w:val="22"/>
          <w:szCs w:val="22"/>
        </w:rPr>
        <w:t xml:space="preserve">Paulson JN et al. (2013) Differential abundance analysis for microbial marker-gene surveys. Nature Methods 10: 1200–1202.</w:t>
      </w:r>
    </w:p>
    <w:p>
      <w:pPr>
        <w:pStyle w:val="ListParagraph"/>
        <w:numPr>
          <w:ilvl w:val="0"/>
          <w:numId w:val="2"/>
        </w:numPr>
        <w:spacing w:after="40" w:before="40"/>
      </w:pPr>
      <w:r>
        <w:rPr>
          <w:color w:val="1F2937"/>
          <w:sz w:val="22"/>
          <w:szCs w:val="22"/>
        </w:rPr>
        <w:t xml:space="preserve">Friedman J, Alm EJ (2012) Inferring correlation networks from genomic survey data. PLOS Computational Biology 8: e1002687.</w:t>
      </w:r>
    </w:p>
    <w:p>
      <w:pPr>
        <w:pStyle w:val="ListParagraph"/>
        <w:numPr>
          <w:ilvl w:val="0"/>
          <w:numId w:val="2"/>
        </w:numPr>
        <w:spacing w:after="40" w:before="40"/>
      </w:pPr>
      <w:r>
        <w:rPr>
          <w:color w:val="1F2937"/>
          <w:sz w:val="22"/>
          <w:szCs w:val="22"/>
        </w:rPr>
        <w:t xml:space="preserve">Ward T et al. (2017) BugBase predicts organism-level microbiome phenotypes. bioRxiv 133462.</w:t>
      </w:r>
    </w:p>
    <w:p>
      <w:pPr>
        <w:pStyle w:val="ListParagraph"/>
        <w:numPr>
          <w:ilvl w:val="0"/>
          <w:numId w:val="2"/>
        </w:numPr>
        <w:spacing w:after="40" w:before="40"/>
      </w:pPr>
      <w:r>
        <w:rPr>
          <w:color w:val="1F2937"/>
          <w:sz w:val="22"/>
          <w:szCs w:val="22"/>
        </w:rPr>
        <w:t xml:space="preserve">Nguyen NH et al. (2016) FUNGuild: an open annotation tool for parsing fungal community datasets by ecological guild. Fungal Ecology 20: 241–248.</w:t>
      </w:r>
    </w:p>
    <w:p>
      <w:pPr>
        <w:pStyle w:val="ListParagraph"/>
        <w:numPr>
          <w:ilvl w:val="0"/>
          <w:numId w:val="2"/>
        </w:numPr>
        <w:spacing w:after="40" w:before="40"/>
      </w:pPr>
      <w:r>
        <w:rPr>
          <w:color w:val="1F2937"/>
          <w:sz w:val="22"/>
          <w:szCs w:val="22"/>
        </w:rPr>
        <w:t xml:space="preserve">Aßhauer KP et al. (2015) Tax4Fun: predicting functional profiles from metagenomic 16S rRNA data. Bioinformatics 31: 2882–2884.</w:t>
      </w:r>
    </w:p>
    <w:p>
      <w:pPr>
        <w:pStyle w:val="ListParagraph"/>
        <w:numPr>
          <w:ilvl w:val="0"/>
          <w:numId w:val="2"/>
        </w:numPr>
        <w:spacing w:after="40" w:before="40"/>
      </w:pPr>
      <w:r>
        <w:rPr>
          <w:color w:val="1F2937"/>
          <w:sz w:val="22"/>
          <w:szCs w:val="22"/>
        </w:rPr>
        <w:t xml:space="preserve">Breiman L (2001) Random Forests. Machine Learning 45: 5–32.</w:t>
      </w:r>
    </w:p>
    <w:sectPr>
      <w:headerReference w:type="default" r:id="rId7"/>
      <w:footerReference w:type="default" r:id="rId8"/>
      <w:pgSz w:w="12240" w:h="15840" w:orient="landscape"/>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t xml:space="preserve">Page </w:t>
    </w:r>
    <w:r>
      <w:rPr>
        <w:color w:val="6B7280"/>
        <w:sz w:val="18"/>
        <w:szCs w:val="18"/>
      </w:rPr>
      <w:fldChar w:fldCharType="begin"/>
      <w:instrText xml:space="preserve">PAGE</w:instrText>
      <w:fldChar w:fldCharType="separate"/>
      <w:fldChar w:fldCharType="end"/>
    </w:r>
    <w:r>
      <w:rPr>
        <w:color w:val="6B7280"/>
        <w:sz w:val="18"/>
        <w:szCs w:val="18"/>
      </w:rPr>
      <w:t xml:space="preserve"> of </w:t>
    </w:r>
    <w:r>
      <w:rPr>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6B7280"/>
        <w:sz w:val="18"/>
        <w:szCs w:val="18"/>
      </w:rPr>
      <w:t xml:space="preserve">EzMAP v2 — Easy and Expert Mode Parameters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60" w:before="32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40"/>
      <w:outlineLvl w:val="2"/>
    </w:pPr>
    <w:rPr>
      <w:rFonts w:ascii="Calibri" w:cs="Calibri" w:eastAsia="Calibri" w:hAnsi="Calibri"/>
      <w:b/>
      <w:bCs/>
      <w:color w:val="4472C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EzMAP v2 — Easy and Expert Mode Parameters</dc:title>
  <dc:creator>EzMAP v2</dc:creator>
  <dc:description>Reviewer response documentation listing every Easy and Expert mode parameter for upstream and downstream analyses.</dc:description>
  <cp:lastModifiedBy>Un-named</cp:lastModifiedBy>
  <cp:revision>1</cp:revision>
  <dcterms:created xsi:type="dcterms:W3CDTF">2026-04-29T10:19:19.581Z</dcterms:created>
  <dcterms:modified xsi:type="dcterms:W3CDTF">2026-04-29T10:19:19.581Z</dcterms:modified>
</cp:coreProperties>
</file>

<file path=docProps/custom.xml><?xml version="1.0" encoding="utf-8"?>
<Properties xmlns="http://schemas.openxmlformats.org/officeDocument/2006/custom-properties" xmlns:vt="http://schemas.openxmlformats.org/officeDocument/2006/docPropsVTypes"/>
</file>