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47857"/>
          <w:sz w:val="32"/>
        </w:rPr>
        <w:t>CHAPITRE 4 : MISE EN ŒUVRE EXPÉRIMENTALE ET ÉVALUATION DU PROTOTYPE MIDAS-BÉNIN</w:t>
      </w:r>
    </w:p>
    <w:p/>
    <w:p>
      <w:pPr>
        <w:pStyle w:val="Heading1"/>
      </w:pPr>
      <w:r>
        <w:t>Introduction</w:t>
      </w:r>
    </w:p>
    <w:p>
      <w:r>
        <w:t>Ce chapitre présente la mise en œuvre, l’expérimentation et l’évaluation du prototype MIDAS-Bénin (Mobile IoT Data protection Architecture for e-Services in Benin). L’objectif est de confronter l’architecture à cinq couches proposée au Chapitre 3 à une réalisation concrète, tout en respectant le périmètre académique du travail : absence d’accès institutionnel à l’ANIP, à l’APDP ou aux e-services publics, absence de budget d’infrastructure et emploi exclusif de données synthétiques.</w:t>
      </w:r>
    </w:p>
    <w:p>
      <w:r>
        <w:t>Le prototype ne prétend donc pas constituer une plateforme nationale opérationnelle. Il représente une preuve de concept à haute fidélité, capable de démontrer les parcours citoyens, la gestion du consentement, la traçabilité, l’enrôlement par NPI simulé, la connexion réelle d’une montre BLE et l’observation de paquets issus de capteurs. Les résultats présentés distinguent systématiquement ce qui a été effectivement implémenté de ce qui reste simulé ou dépendant d’autorisations institutionnelles.</w:t>
      </w:r>
    </w:p>
    <w:p>
      <w:pPr>
        <w:pStyle w:val="Heading1"/>
      </w:pPr>
      <w:r>
        <w:t>4.1 Mise en œuvre du prototype MIDAS-Bénin</w:t>
      </w:r>
    </w:p>
    <w:p>
      <w:pPr>
        <w:pStyle w:val="Heading2"/>
      </w:pPr>
      <w:r>
        <w:t>4.1.1 Description de la solution implémentée : architecture logique et physique</w:t>
      </w:r>
    </w:p>
    <w:p>
      <w:r>
        <w:t>La solution implémentée combine une interface de portefeuille citoyen, une application Android native hôte, un moteur de simulation local et un module BLE réel pour la montre AMIS Watch5GTR. Le choix d’un conteneur Android WebView permet de conserver à l’identique la maquette React initiale tout en donnant accès aux capacités natives du téléphone, notamment la biométrie, les permissions Bluetooth et les services GATT.</w:t>
      </w:r>
    </w:p>
    <w:tbl>
      <w:tblPr>
        <w:tblStyle w:val="TableGrid"/>
        <w:tblW w:type="auto" w:w="0"/>
        <w:jc w:val="center"/>
        <w:tblLook w:firstColumn="1" w:firstRow="1" w:lastColumn="0" w:lastRow="0" w:noHBand="0" w:noVBand="1" w:val="04A0"/>
      </w:tblPr>
      <w:tblGrid>
        <w:gridCol w:w="3264"/>
        <w:gridCol w:w="3264"/>
        <w:gridCol w:w="3264"/>
      </w:tblGrid>
      <w:tr>
        <w:tc>
          <w:tcPr>
            <w:tcW w:type="dxa" w:w="1728"/>
            <w:vAlign w:val="center"/>
            <w:shd w:fill="059669"/>
          </w:tcPr>
          <w:p>
            <w:r>
              <w:rPr>
                <w:rFonts w:ascii="Times New Roman" w:hAnsi="Times New Roman" w:eastAsia="Times New Roman"/>
                <w:sz w:val="18"/>
              </w:rPr>
            </w:r>
            <w:r>
              <w:rPr>
                <w:rFonts w:ascii="Times New Roman" w:hAnsi="Times New Roman" w:eastAsia="Times New Roman"/>
                <w:b/>
                <w:color w:val="FFFFFF"/>
                <w:sz w:val="18"/>
              </w:rPr>
              <w:t>Couche</w:t>
            </w:r>
          </w:p>
        </w:tc>
        <w:tc>
          <w:tcPr>
            <w:tcW w:type="dxa" w:w="5184"/>
            <w:vAlign w:val="center"/>
            <w:shd w:fill="059669"/>
          </w:tcPr>
          <w:p>
            <w:r>
              <w:rPr>
                <w:rFonts w:ascii="Times New Roman" w:hAnsi="Times New Roman" w:eastAsia="Times New Roman"/>
                <w:sz w:val="18"/>
              </w:rPr>
            </w:r>
            <w:r>
              <w:rPr>
                <w:rFonts w:ascii="Times New Roman" w:hAnsi="Times New Roman" w:eastAsia="Times New Roman"/>
                <w:b/>
                <w:color w:val="FFFFFF"/>
                <w:sz w:val="18"/>
              </w:rPr>
              <w:t>Composants réalisés</w:t>
            </w:r>
          </w:p>
        </w:tc>
        <w:tc>
          <w:tcPr>
            <w:tcW w:type="dxa" w:w="2448"/>
            <w:vAlign w:val="center"/>
            <w:shd w:fill="059669"/>
          </w:tcPr>
          <w:p>
            <w:r>
              <w:rPr>
                <w:rFonts w:ascii="Times New Roman" w:hAnsi="Times New Roman" w:eastAsia="Times New Roman"/>
                <w:sz w:val="18"/>
              </w:rPr>
            </w:r>
            <w:r>
              <w:rPr>
                <w:rFonts w:ascii="Times New Roman" w:hAnsi="Times New Roman" w:eastAsia="Times New Roman"/>
                <w:b/>
                <w:color w:val="FFFFFF"/>
                <w:sz w:val="18"/>
              </w:rPr>
              <w:t>Statut expérimental</w:t>
            </w:r>
          </w:p>
        </w:tc>
      </w:tr>
      <w:tr>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Couche 1 — Perception</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AMIS Watch5GTR réelle, tensiomètre, glucomètre et capteurs agricoles simulés</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Montre réelle ; autres appareils simulés</w:t>
            </w:r>
          </w:p>
        </w:tc>
      </w:tr>
      <w:tr>
        <w:tc>
          <w:tcPr>
            <w:tcW w:type="dxa" w:w="3264"/>
            <w:vAlign w:val="center"/>
          </w:tcPr>
          <w:p>
            <w:r>
              <w:rPr>
                <w:rFonts w:ascii="Times New Roman" w:hAnsi="Times New Roman" w:eastAsia="Times New Roman"/>
                <w:sz w:val="18"/>
              </w:rPr>
            </w:r>
            <w:r>
              <w:rPr>
                <w:rFonts w:ascii="Times New Roman" w:hAnsi="Times New Roman" w:eastAsia="Times New Roman"/>
                <w:b w:val="0"/>
                <w:sz w:val="18"/>
              </w:rPr>
              <w:t>Couche 2 — Réseau / transport</w:t>
            </w:r>
          </w:p>
        </w:tc>
        <w:tc>
          <w:tcPr>
            <w:tcW w:type="dxa" w:w="3264"/>
            <w:vAlign w:val="center"/>
          </w:tcPr>
          <w:p>
            <w:r>
              <w:rPr>
                <w:rFonts w:ascii="Times New Roman" w:hAnsi="Times New Roman" w:eastAsia="Times New Roman"/>
                <w:sz w:val="18"/>
              </w:rPr>
            </w:r>
            <w:r>
              <w:rPr>
                <w:rFonts w:ascii="Times New Roman" w:hAnsi="Times New Roman" w:eastAsia="Times New Roman"/>
                <w:b w:val="0"/>
                <w:sz w:val="18"/>
              </w:rPr>
              <w:t>Bluetooth Low Energy, scan Android, GATT, notifications BLE</w:t>
            </w:r>
          </w:p>
        </w:tc>
        <w:tc>
          <w:tcPr>
            <w:tcW w:type="dxa" w:w="3264"/>
            <w:vAlign w:val="center"/>
          </w:tcPr>
          <w:p>
            <w:r>
              <w:rPr>
                <w:rFonts w:ascii="Times New Roman" w:hAnsi="Times New Roman" w:eastAsia="Times New Roman"/>
                <w:sz w:val="18"/>
              </w:rPr>
            </w:r>
            <w:r>
              <w:rPr>
                <w:rFonts w:ascii="Times New Roman" w:hAnsi="Times New Roman" w:eastAsia="Times New Roman"/>
                <w:b w:val="0"/>
                <w:sz w:val="18"/>
              </w:rPr>
              <w:t>Réel pour la montre ; LoRaWAN/NB-IoT simulés</w:t>
            </w:r>
          </w:p>
        </w:tc>
      </w:tr>
      <w:tr>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Couche 3 — Traitement</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Android Keystore, biométrie, consentements, décodage RDFit ciblé, audit local</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Partiellement réel ; stockage serveur simulé</w:t>
            </w:r>
          </w:p>
        </w:tc>
      </w:tr>
      <w:tr>
        <w:tc>
          <w:tcPr>
            <w:tcW w:type="dxa" w:w="3264"/>
            <w:vAlign w:val="center"/>
          </w:tcPr>
          <w:p>
            <w:r>
              <w:rPr>
                <w:rFonts w:ascii="Times New Roman" w:hAnsi="Times New Roman" w:eastAsia="Times New Roman"/>
                <w:sz w:val="18"/>
              </w:rPr>
            </w:r>
            <w:r>
              <w:rPr>
                <w:rFonts w:ascii="Times New Roman" w:hAnsi="Times New Roman" w:eastAsia="Times New Roman"/>
                <w:b w:val="0"/>
                <w:sz w:val="18"/>
              </w:rPr>
              <w:t>Couche 4 — Application</w:t>
            </w:r>
          </w:p>
        </w:tc>
        <w:tc>
          <w:tcPr>
            <w:tcW w:type="dxa" w:w="3264"/>
            <w:vAlign w:val="center"/>
          </w:tcPr>
          <w:p>
            <w:r>
              <w:rPr>
                <w:rFonts w:ascii="Times New Roman" w:hAnsi="Times New Roman" w:eastAsia="Times New Roman"/>
                <w:sz w:val="18"/>
              </w:rPr>
            </w:r>
            <w:r>
              <w:rPr>
                <w:rFonts w:ascii="Times New Roman" w:hAnsi="Times New Roman" w:eastAsia="Times New Roman"/>
                <w:b w:val="0"/>
                <w:sz w:val="18"/>
              </w:rPr>
              <w:t>Portefeuille citoyen, identité DID, credentials, e-services, export</w:t>
            </w:r>
          </w:p>
        </w:tc>
        <w:tc>
          <w:tcPr>
            <w:tcW w:type="dxa" w:w="3264"/>
            <w:vAlign w:val="center"/>
          </w:tcPr>
          <w:p>
            <w:r>
              <w:rPr>
                <w:rFonts w:ascii="Times New Roman" w:hAnsi="Times New Roman" w:eastAsia="Times New Roman"/>
                <w:sz w:val="18"/>
              </w:rPr>
            </w:r>
            <w:r>
              <w:rPr>
                <w:rFonts w:ascii="Times New Roman" w:hAnsi="Times New Roman" w:eastAsia="Times New Roman"/>
                <w:b w:val="0"/>
                <w:sz w:val="18"/>
              </w:rPr>
              <w:t>Fonctionnel avec données synthétiques</w:t>
            </w:r>
          </w:p>
        </w:tc>
      </w:tr>
      <w:tr>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Couche 5 — Gouvernance</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Journal hashé, ancrage de démonstration, console de contrôle représentée</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Simulation locale ; pas de réseau Iroha institutionnel</w:t>
            </w:r>
          </w:p>
        </w:tc>
      </w:tr>
    </w:tbl>
    <w:p/>
    <w:p>
      <w:r>
        <w:t>L’architecture physique retenue est volontairement légère. Le téléphone Android joue le rôle de hub de confiance : il héberge l’application, sollicite la biométrie native, réalise le scan BLE, établit la connexion GATT et transmet les événements à l’interface du portefeuille. La montre AMIS est un périphérique de perception qui annonce ses services BLE et émet des paquets propriétaires RDFit. L’interface web embarquée dans l’APK présente les résultats à l’utilisateur.</w:t>
      </w:r>
    </w:p>
    <w:p>
      <w:pPr>
        <w:pStyle w:val="Heading3"/>
      </w:pPr>
      <w:r>
        <w:t>Architecture de déploiement du prototype</w:t>
      </w:r>
    </w:p>
    <w:tbl>
      <w:tblPr>
        <w:tblStyle w:val="TableGrid"/>
        <w:tblW w:type="auto" w:w="0"/>
        <w:jc w:val="center"/>
        <w:tblLook w:firstColumn="1" w:firstRow="1" w:lastColumn="0" w:lastRow="0" w:noHBand="0" w:noVBand="1" w:val="04A0"/>
      </w:tblPr>
      <w:tblGrid>
        <w:gridCol w:w="3264"/>
        <w:gridCol w:w="3264"/>
        <w:gridCol w:w="3264"/>
      </w:tblGrid>
      <w:tr>
        <w:tc>
          <w:tcPr>
            <w:tcW w:type="dxa" w:w="2016"/>
            <w:vAlign w:val="center"/>
            <w:shd w:fill="059669"/>
          </w:tcPr>
          <w:p>
            <w:r>
              <w:rPr>
                <w:rFonts w:ascii="Times New Roman" w:hAnsi="Times New Roman" w:eastAsia="Times New Roman"/>
                <w:sz w:val="18"/>
              </w:rPr>
            </w:r>
            <w:r>
              <w:rPr>
                <w:rFonts w:ascii="Times New Roman" w:hAnsi="Times New Roman" w:eastAsia="Times New Roman"/>
                <w:b/>
                <w:color w:val="FFFFFF"/>
                <w:sz w:val="18"/>
              </w:rPr>
              <w:t>Élément</w:t>
            </w:r>
          </w:p>
        </w:tc>
        <w:tc>
          <w:tcPr>
            <w:tcW w:type="dxa" w:w="5040"/>
            <w:vAlign w:val="center"/>
            <w:shd w:fill="059669"/>
          </w:tcPr>
          <w:p>
            <w:r>
              <w:rPr>
                <w:rFonts w:ascii="Times New Roman" w:hAnsi="Times New Roman" w:eastAsia="Times New Roman"/>
                <w:sz w:val="18"/>
              </w:rPr>
            </w:r>
            <w:r>
              <w:rPr>
                <w:rFonts w:ascii="Times New Roman" w:hAnsi="Times New Roman" w:eastAsia="Times New Roman"/>
                <w:b/>
                <w:color w:val="FFFFFF"/>
                <w:sz w:val="18"/>
              </w:rPr>
              <w:t>Technologie / rôle</w:t>
            </w:r>
          </w:p>
        </w:tc>
        <w:tc>
          <w:tcPr>
            <w:tcW w:type="dxa" w:w="2304"/>
            <w:vAlign w:val="center"/>
            <w:shd w:fill="059669"/>
          </w:tcPr>
          <w:p>
            <w:r>
              <w:rPr>
                <w:rFonts w:ascii="Times New Roman" w:hAnsi="Times New Roman" w:eastAsia="Times New Roman"/>
                <w:sz w:val="18"/>
              </w:rPr>
            </w:r>
            <w:r>
              <w:rPr>
                <w:rFonts w:ascii="Times New Roman" w:hAnsi="Times New Roman" w:eastAsia="Times New Roman"/>
                <w:b/>
                <w:color w:val="FFFFFF"/>
                <w:sz w:val="18"/>
              </w:rPr>
              <w:t>Nature</w:t>
            </w:r>
          </w:p>
        </w:tc>
      </w:tr>
      <w:tr>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Portefeuille citoyen</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React, TypeScript, Tailwind CSS, Vite Single File</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Interface embarquée dans l’APK</w:t>
            </w:r>
          </w:p>
        </w:tc>
      </w:tr>
      <w:tr>
        <w:tc>
          <w:tcPr>
            <w:tcW w:type="dxa" w:w="3264"/>
            <w:vAlign w:val="center"/>
          </w:tcPr>
          <w:p>
            <w:r>
              <w:rPr>
                <w:rFonts w:ascii="Times New Roman" w:hAnsi="Times New Roman" w:eastAsia="Times New Roman"/>
                <w:sz w:val="18"/>
              </w:rPr>
            </w:r>
            <w:r>
              <w:rPr>
                <w:rFonts w:ascii="Times New Roman" w:hAnsi="Times New Roman" w:eastAsia="Times New Roman"/>
                <w:b w:val="0"/>
                <w:sz w:val="18"/>
              </w:rPr>
              <w:t>Hôte Android</w:t>
            </w:r>
          </w:p>
        </w:tc>
        <w:tc>
          <w:tcPr>
            <w:tcW w:type="dxa" w:w="3264"/>
            <w:vAlign w:val="center"/>
          </w:tcPr>
          <w:p>
            <w:r>
              <w:rPr>
                <w:rFonts w:ascii="Times New Roman" w:hAnsi="Times New Roman" w:eastAsia="Times New Roman"/>
                <w:sz w:val="18"/>
              </w:rPr>
            </w:r>
            <w:r>
              <w:rPr>
                <w:rFonts w:ascii="Times New Roman" w:hAnsi="Times New Roman" w:eastAsia="Times New Roman"/>
                <w:b w:val="0"/>
                <w:sz w:val="18"/>
              </w:rPr>
              <w:t>Kotlin, Android API 31+, WebView</w:t>
            </w:r>
          </w:p>
        </w:tc>
        <w:tc>
          <w:tcPr>
            <w:tcW w:type="dxa" w:w="3264"/>
            <w:vAlign w:val="center"/>
          </w:tcPr>
          <w:p>
            <w:r>
              <w:rPr>
                <w:rFonts w:ascii="Times New Roman" w:hAnsi="Times New Roman" w:eastAsia="Times New Roman"/>
                <w:sz w:val="18"/>
              </w:rPr>
            </w:r>
            <w:r>
              <w:rPr>
                <w:rFonts w:ascii="Times New Roman" w:hAnsi="Times New Roman" w:eastAsia="Times New Roman"/>
                <w:b w:val="0"/>
                <w:sz w:val="18"/>
              </w:rPr>
              <w:t>Accès biométrie et BLE</w:t>
            </w:r>
          </w:p>
        </w:tc>
      </w:tr>
      <w:tr>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Sécurité locale</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AndroidX Biometric, Android Keystore</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Authentification locale réelle</w:t>
            </w:r>
          </w:p>
        </w:tc>
      </w:tr>
      <w:tr>
        <w:tc>
          <w:tcPr>
            <w:tcW w:type="dxa" w:w="3264"/>
            <w:vAlign w:val="center"/>
          </w:tcPr>
          <w:p>
            <w:r>
              <w:rPr>
                <w:rFonts w:ascii="Times New Roman" w:hAnsi="Times New Roman" w:eastAsia="Times New Roman"/>
                <w:sz w:val="18"/>
              </w:rPr>
            </w:r>
            <w:r>
              <w:rPr>
                <w:rFonts w:ascii="Times New Roman" w:hAnsi="Times New Roman" w:eastAsia="Times New Roman"/>
                <w:b w:val="0"/>
                <w:sz w:val="18"/>
              </w:rPr>
              <w:t>Montre IoT</w:t>
            </w:r>
          </w:p>
        </w:tc>
        <w:tc>
          <w:tcPr>
            <w:tcW w:type="dxa" w:w="3264"/>
            <w:vAlign w:val="center"/>
          </w:tcPr>
          <w:p>
            <w:r>
              <w:rPr>
                <w:rFonts w:ascii="Times New Roman" w:hAnsi="Times New Roman" w:eastAsia="Times New Roman"/>
                <w:sz w:val="18"/>
              </w:rPr>
            </w:r>
            <w:r>
              <w:rPr>
                <w:rFonts w:ascii="Times New Roman" w:hAnsi="Times New Roman" w:eastAsia="Times New Roman"/>
                <w:b w:val="0"/>
                <w:sz w:val="18"/>
              </w:rPr>
              <w:t>AMIS Watch5GTR, BLE/GATT</w:t>
            </w:r>
          </w:p>
        </w:tc>
        <w:tc>
          <w:tcPr>
            <w:tcW w:type="dxa" w:w="3264"/>
            <w:vAlign w:val="center"/>
          </w:tcPr>
          <w:p>
            <w:r>
              <w:rPr>
                <w:rFonts w:ascii="Times New Roman" w:hAnsi="Times New Roman" w:eastAsia="Times New Roman"/>
                <w:sz w:val="18"/>
              </w:rPr>
            </w:r>
            <w:r>
              <w:rPr>
                <w:rFonts w:ascii="Times New Roman" w:hAnsi="Times New Roman" w:eastAsia="Times New Roman"/>
                <w:b w:val="0"/>
                <w:sz w:val="18"/>
              </w:rPr>
              <w:t>Matériel réel</w:t>
            </w:r>
          </w:p>
        </w:tc>
      </w:tr>
      <w:tr>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Analyse BLE</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nRF Connect, journal HCI BTSnoop</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Outils expérimentaux</w:t>
            </w:r>
          </w:p>
        </w:tc>
      </w:tr>
      <w:tr>
        <w:tc>
          <w:tcPr>
            <w:tcW w:type="dxa" w:w="3264"/>
            <w:vAlign w:val="center"/>
          </w:tcPr>
          <w:p>
            <w:r>
              <w:rPr>
                <w:rFonts w:ascii="Times New Roman" w:hAnsi="Times New Roman" w:eastAsia="Times New Roman"/>
                <w:sz w:val="18"/>
              </w:rPr>
            </w:r>
            <w:r>
              <w:rPr>
                <w:rFonts w:ascii="Times New Roman" w:hAnsi="Times New Roman" w:eastAsia="Times New Roman"/>
                <w:b w:val="0"/>
                <w:sz w:val="18"/>
              </w:rPr>
              <w:t>Registre d’audit</w:t>
            </w:r>
          </w:p>
        </w:tc>
        <w:tc>
          <w:tcPr>
            <w:tcW w:type="dxa" w:w="3264"/>
            <w:vAlign w:val="center"/>
          </w:tcPr>
          <w:p>
            <w:r>
              <w:rPr>
                <w:rFonts w:ascii="Times New Roman" w:hAnsi="Times New Roman" w:eastAsia="Times New Roman"/>
                <w:sz w:val="18"/>
              </w:rPr>
            </w:r>
            <w:r>
              <w:rPr>
                <w:rFonts w:ascii="Times New Roman" w:hAnsi="Times New Roman" w:eastAsia="Times New Roman"/>
                <w:b w:val="0"/>
                <w:sz w:val="18"/>
              </w:rPr>
              <w:t>SHA-256 chaîné, métadonnées d’ancrage</w:t>
            </w:r>
          </w:p>
        </w:tc>
        <w:tc>
          <w:tcPr>
            <w:tcW w:type="dxa" w:w="3264"/>
            <w:vAlign w:val="center"/>
          </w:tcPr>
          <w:p>
            <w:r>
              <w:rPr>
                <w:rFonts w:ascii="Times New Roman" w:hAnsi="Times New Roman" w:eastAsia="Times New Roman"/>
                <w:sz w:val="18"/>
              </w:rPr>
            </w:r>
            <w:r>
              <w:rPr>
                <w:rFonts w:ascii="Times New Roman" w:hAnsi="Times New Roman" w:eastAsia="Times New Roman"/>
                <w:b w:val="0"/>
                <w:sz w:val="18"/>
              </w:rPr>
              <w:t>Simulation inspirée d’Iroha</w:t>
            </w:r>
          </w:p>
        </w:tc>
      </w:tr>
      <w:tr>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Données citoyennes</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Données synthétiques et stockage local</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Démonstration académique</w:t>
            </w:r>
          </w:p>
        </w:tc>
      </w:tr>
    </w:tbl>
    <w:p/>
    <w:p>
      <w:pPr>
        <w:pStyle w:val="Heading2"/>
      </w:pPr>
      <w:r>
        <w:t>4.1.2 Déroulement de l’implémentation du portefeuille MIDAS-Bénin</w:t>
      </w:r>
    </w:p>
    <w:p>
      <w:r>
        <w:t>La réalisation a été organisée en étapes incrémentales afin de valider progressivement les hypothèses du Chapitre 3. Cette démarche a permis de dissocier les fonctions immédiatement réalisables sans infrastructure nationale des fonctions qui nécessiteraient un partenariat avec l’ANIP, l’APDP, un fabricant ou un fournisseur d’e-service.</w:t>
      </w:r>
    </w:p>
    <w:tbl>
      <w:tblPr>
        <w:tblStyle w:val="TableGrid"/>
        <w:tblW w:type="auto" w:w="0"/>
        <w:jc w:val="center"/>
        <w:tblLook w:firstColumn="1" w:firstRow="1" w:lastColumn="0" w:lastRow="0" w:noHBand="0" w:noVBand="1" w:val="04A0"/>
      </w:tblPr>
      <w:tblGrid>
        <w:gridCol w:w="3264"/>
        <w:gridCol w:w="3264"/>
        <w:gridCol w:w="3264"/>
      </w:tblGrid>
      <w:tr>
        <w:tc>
          <w:tcPr>
            <w:tcW w:type="dxa" w:w="1656"/>
            <w:vAlign w:val="center"/>
            <w:shd w:fill="059669"/>
          </w:tcPr>
          <w:p>
            <w:r>
              <w:rPr>
                <w:rFonts w:ascii="Times New Roman" w:hAnsi="Times New Roman" w:eastAsia="Times New Roman"/>
                <w:sz w:val="18"/>
              </w:rPr>
            </w:r>
            <w:r>
              <w:rPr>
                <w:rFonts w:ascii="Times New Roman" w:hAnsi="Times New Roman" w:eastAsia="Times New Roman"/>
                <w:b/>
                <w:color w:val="FFFFFF"/>
                <w:sz w:val="18"/>
              </w:rPr>
              <w:t>Étape</w:t>
            </w:r>
          </w:p>
        </w:tc>
        <w:tc>
          <w:tcPr>
            <w:tcW w:type="dxa" w:w="5184"/>
            <w:vAlign w:val="center"/>
            <w:shd w:fill="059669"/>
          </w:tcPr>
          <w:p>
            <w:r>
              <w:rPr>
                <w:rFonts w:ascii="Times New Roman" w:hAnsi="Times New Roman" w:eastAsia="Times New Roman"/>
                <w:sz w:val="18"/>
              </w:rPr>
            </w:r>
            <w:r>
              <w:rPr>
                <w:rFonts w:ascii="Times New Roman" w:hAnsi="Times New Roman" w:eastAsia="Times New Roman"/>
                <w:b/>
                <w:color w:val="FFFFFF"/>
                <w:sz w:val="18"/>
              </w:rPr>
              <w:t>Mise en œuvre</w:t>
            </w:r>
          </w:p>
        </w:tc>
        <w:tc>
          <w:tcPr>
            <w:tcW w:type="dxa" w:w="2520"/>
            <w:vAlign w:val="center"/>
            <w:shd w:fill="059669"/>
          </w:tcPr>
          <w:p>
            <w:r>
              <w:rPr>
                <w:rFonts w:ascii="Times New Roman" w:hAnsi="Times New Roman" w:eastAsia="Times New Roman"/>
                <w:sz w:val="18"/>
              </w:rPr>
            </w:r>
            <w:r>
              <w:rPr>
                <w:rFonts w:ascii="Times New Roman" w:hAnsi="Times New Roman" w:eastAsia="Times New Roman"/>
                <w:b/>
                <w:color w:val="FFFFFF"/>
                <w:sz w:val="18"/>
              </w:rPr>
              <w:t>Résultat obtenu</w:t>
            </w:r>
          </w:p>
        </w:tc>
      </w:tr>
      <w:tr>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1. Réorganisation</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Migration en structure React/TypeScript cohérente et compilation Vite</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Projet compilable, typage validé</w:t>
            </w:r>
          </w:p>
        </w:tc>
      </w:tr>
      <w:tr>
        <w:tc>
          <w:tcPr>
            <w:tcW w:type="dxa" w:w="3264"/>
            <w:vAlign w:val="center"/>
          </w:tcPr>
          <w:p>
            <w:r>
              <w:rPr>
                <w:rFonts w:ascii="Times New Roman" w:hAnsi="Times New Roman" w:eastAsia="Times New Roman"/>
                <w:sz w:val="18"/>
              </w:rPr>
            </w:r>
            <w:r>
              <w:rPr>
                <w:rFonts w:ascii="Times New Roman" w:hAnsi="Times New Roman" w:eastAsia="Times New Roman"/>
                <w:b w:val="0"/>
                <w:sz w:val="18"/>
              </w:rPr>
              <w:t>2. Portefeuille</w:t>
            </w:r>
          </w:p>
        </w:tc>
        <w:tc>
          <w:tcPr>
            <w:tcW w:type="dxa" w:w="3264"/>
            <w:vAlign w:val="center"/>
          </w:tcPr>
          <w:p>
            <w:r>
              <w:rPr>
                <w:rFonts w:ascii="Times New Roman" w:hAnsi="Times New Roman" w:eastAsia="Times New Roman"/>
                <w:sz w:val="18"/>
              </w:rPr>
            </w:r>
            <w:r>
              <w:rPr>
                <w:rFonts w:ascii="Times New Roman" w:hAnsi="Times New Roman" w:eastAsia="Times New Roman"/>
                <w:b w:val="0"/>
                <w:sz w:val="18"/>
              </w:rPr>
              <w:t>Écrans tableau de bord, identité, consentements, IoT, e-services, audit et paramètres</w:t>
            </w:r>
          </w:p>
        </w:tc>
        <w:tc>
          <w:tcPr>
            <w:tcW w:type="dxa" w:w="3264"/>
            <w:vAlign w:val="center"/>
          </w:tcPr>
          <w:p>
            <w:r>
              <w:rPr>
                <w:rFonts w:ascii="Times New Roman" w:hAnsi="Times New Roman" w:eastAsia="Times New Roman"/>
                <w:sz w:val="18"/>
              </w:rPr>
            </w:r>
            <w:r>
              <w:rPr>
                <w:rFonts w:ascii="Times New Roman" w:hAnsi="Times New Roman" w:eastAsia="Times New Roman"/>
                <w:b w:val="0"/>
                <w:sz w:val="18"/>
              </w:rPr>
              <w:t>Parcours citoyen complet</w:t>
            </w:r>
          </w:p>
        </w:tc>
      </w:tr>
      <w:tr>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3. Enrôlement</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Saisie du NPI de démonstration, résolution locale simulée, DID unique, credential</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Un enrôlement par installation</w:t>
            </w:r>
          </w:p>
        </w:tc>
      </w:tr>
      <w:tr>
        <w:tc>
          <w:tcPr>
            <w:tcW w:type="dxa" w:w="3264"/>
            <w:vAlign w:val="center"/>
          </w:tcPr>
          <w:p>
            <w:r>
              <w:rPr>
                <w:rFonts w:ascii="Times New Roman" w:hAnsi="Times New Roman" w:eastAsia="Times New Roman"/>
                <w:sz w:val="18"/>
              </w:rPr>
            </w:r>
            <w:r>
              <w:rPr>
                <w:rFonts w:ascii="Times New Roman" w:hAnsi="Times New Roman" w:eastAsia="Times New Roman"/>
                <w:b w:val="0"/>
                <w:sz w:val="18"/>
              </w:rPr>
              <w:t>4. Sécurité</w:t>
            </w:r>
          </w:p>
        </w:tc>
        <w:tc>
          <w:tcPr>
            <w:tcW w:type="dxa" w:w="3264"/>
            <w:vAlign w:val="center"/>
          </w:tcPr>
          <w:p>
            <w:r>
              <w:rPr>
                <w:rFonts w:ascii="Times New Roman" w:hAnsi="Times New Roman" w:eastAsia="Times New Roman"/>
                <w:sz w:val="18"/>
              </w:rPr>
            </w:r>
            <w:r>
              <w:rPr>
                <w:rFonts w:ascii="Times New Roman" w:hAnsi="Times New Roman" w:eastAsia="Times New Roman"/>
                <w:b w:val="0"/>
                <w:sz w:val="18"/>
              </w:rPr>
              <w:t>Biométrie Android, Keystore, contrôle d’accès local</w:t>
            </w:r>
          </w:p>
        </w:tc>
        <w:tc>
          <w:tcPr>
            <w:tcW w:type="dxa" w:w="3264"/>
            <w:vAlign w:val="center"/>
          </w:tcPr>
          <w:p>
            <w:r>
              <w:rPr>
                <w:rFonts w:ascii="Times New Roman" w:hAnsi="Times New Roman" w:eastAsia="Times New Roman"/>
                <w:sz w:val="18"/>
              </w:rPr>
            </w:r>
            <w:r>
              <w:rPr>
                <w:rFonts w:ascii="Times New Roman" w:hAnsi="Times New Roman" w:eastAsia="Times New Roman"/>
                <w:b w:val="0"/>
                <w:sz w:val="18"/>
              </w:rPr>
              <w:t>Déverrouillage natif du portefeuille</w:t>
            </w:r>
          </w:p>
        </w:tc>
      </w:tr>
      <w:tr>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5. Audit</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Hash SHA-256, historique, export JSON, référence d’ancrage simulée</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Traçabilité vérifiable localement</w:t>
            </w:r>
          </w:p>
        </w:tc>
      </w:tr>
      <w:tr>
        <w:tc>
          <w:tcPr>
            <w:tcW w:type="dxa" w:w="3264"/>
            <w:vAlign w:val="center"/>
          </w:tcPr>
          <w:p>
            <w:r>
              <w:rPr>
                <w:rFonts w:ascii="Times New Roman" w:hAnsi="Times New Roman" w:eastAsia="Times New Roman"/>
                <w:sz w:val="18"/>
              </w:rPr>
            </w:r>
            <w:r>
              <w:rPr>
                <w:rFonts w:ascii="Times New Roman" w:hAnsi="Times New Roman" w:eastAsia="Times New Roman"/>
                <w:b w:val="0"/>
                <w:sz w:val="18"/>
              </w:rPr>
              <w:t>6. BLE réel</w:t>
            </w:r>
          </w:p>
        </w:tc>
        <w:tc>
          <w:tcPr>
            <w:tcW w:type="dxa" w:w="3264"/>
            <w:vAlign w:val="center"/>
          </w:tcPr>
          <w:p>
            <w:r>
              <w:rPr>
                <w:rFonts w:ascii="Times New Roman" w:hAnsi="Times New Roman" w:eastAsia="Times New Roman"/>
                <w:sz w:val="18"/>
              </w:rPr>
            </w:r>
            <w:r>
              <w:rPr>
                <w:rFonts w:ascii="Times New Roman" w:hAnsi="Times New Roman" w:eastAsia="Times New Roman"/>
                <w:b w:val="0"/>
                <w:sz w:val="18"/>
              </w:rPr>
              <w:t>Permissions, scan, GATT, abonnement aux notifications de la montre AMIS</w:t>
            </w:r>
          </w:p>
        </w:tc>
        <w:tc>
          <w:tcPr>
            <w:tcW w:type="dxa" w:w="3264"/>
            <w:vAlign w:val="center"/>
          </w:tcPr>
          <w:p>
            <w:r>
              <w:rPr>
                <w:rFonts w:ascii="Times New Roman" w:hAnsi="Times New Roman" w:eastAsia="Times New Roman"/>
                <w:sz w:val="18"/>
              </w:rPr>
            </w:r>
            <w:r>
              <w:rPr>
                <w:rFonts w:ascii="Times New Roman" w:hAnsi="Times New Roman" w:eastAsia="Times New Roman"/>
                <w:b w:val="0"/>
                <w:sz w:val="18"/>
              </w:rPr>
              <w:t>Connexion matérielle validée</w:t>
            </w:r>
          </w:p>
        </w:tc>
      </w:tr>
      <w:tr>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7. Analyse RDFit</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Journal HCI, corrélation commandes/réponses</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Identification de trames capteurs ciblées</w:t>
            </w:r>
          </w:p>
        </w:tc>
      </w:tr>
    </w:tbl>
    <w:p/>
    <w:p>
      <w:pPr>
        <w:pStyle w:val="Heading2"/>
      </w:pPr>
      <w:r>
        <w:t>4.1.3 Spécificités de sécurité, de confidentialité et de souveraineté</w:t>
      </w:r>
    </w:p>
    <w:p>
      <w:pPr>
        <w:pStyle w:val="ListBullet"/>
      </w:pPr>
      <w:r>
        <w:t>L’application ne collecte ni empreinte digitale ni image faciale. Elle délègue la vérification biométrique au système Android, qui retourne uniquement un résultat de succès ou d’échec.</w:t>
      </w:r>
    </w:p>
    <w:p>
      <w:pPr>
        <w:pStyle w:val="ListBullet"/>
      </w:pPr>
      <w:r>
        <w:t>Le NPI est utilisé dans un registre local simulé. Le prototype ne contacte pas l’ANIP et ne doit recevoir aucun NPI réel dans le cadre de l’expérimentation.</w:t>
      </w:r>
    </w:p>
    <w:p>
      <w:pPr>
        <w:pStyle w:val="ListBullet"/>
      </w:pPr>
      <w:r>
        <w:t>L’enrôlement est verrouillé localement après création : un NPI de démonstration donne lieu à un DID unique par installation. Cette règle matérialise l’usage unique dans les limites du prototype local.</w:t>
      </w:r>
    </w:p>
    <w:p>
      <w:pPr>
        <w:pStyle w:val="ListBullet"/>
      </w:pPr>
      <w:r>
        <w:t>Les commandes RDFit ne sont limitées qu’aux actions observées dans le journal HCI : mesure de rythme cardiaque, mesure SpO2, tension estimée et fonction de recherche/vibration. Aucune commande arbitraire de configuration, de réinitialisation ou de firmware n’est envoyée.</w:t>
      </w:r>
    </w:p>
    <w:p>
      <w:pPr>
        <w:pStyle w:val="ListBullet"/>
      </w:pPr>
      <w:r>
        <w:t>Les indicateurs santé fournis par la montre sont traités comme des indicateurs de bien-être provenant d’un appareil grand public, et non comme des résultats médicaux certifiés.</w:t>
      </w:r>
    </w:p>
    <w:p>
      <w:pPr>
        <w:pStyle w:val="Heading1"/>
      </w:pPr>
      <w:r>
        <w:t>4.2 Résultats expérimentaux et discussion</w:t>
      </w:r>
    </w:p>
    <w:p>
      <w:pPr>
        <w:pStyle w:val="Heading2"/>
      </w:pPr>
      <w:r>
        <w:t>4.2.1 Validation fonctionnelle de MIDAS-Bénin : scénarios, captures et commentaires</w:t>
      </w:r>
    </w:p>
    <w:p>
      <w:r>
        <w:t>Les tests ont porté sur les fonctions centrales du prototype : enrôlement, contrôle des consentements, gestion d’objets IoT, audit, interface mobile et communication BLE. Les captures intégrées ci-dessous proviennent de l’exécution sur téléphone Android et des outils de diagnostic BLE.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944"/>
            <w:vAlign w:val="center"/>
            <w:shd w:fill="059669"/>
          </w:tcPr>
          <w:p>
            <w:r>
              <w:rPr>
                <w:rFonts w:ascii="Times New Roman" w:hAnsi="Times New Roman" w:eastAsia="Times New Roman"/>
                <w:sz w:val="18"/>
              </w:rPr>
            </w:r>
            <w:r>
              <w:rPr>
                <w:rFonts w:ascii="Times New Roman" w:hAnsi="Times New Roman" w:eastAsia="Times New Roman"/>
                <w:b/>
                <w:color w:val="FFFFFF"/>
                <w:sz w:val="18"/>
              </w:rPr>
              <w:t>Scénario de test</w:t>
            </w:r>
          </w:p>
        </w:tc>
        <w:tc>
          <w:tcPr>
            <w:tcW w:type="dxa" w:w="4464"/>
            <w:vAlign w:val="center"/>
            <w:shd w:fill="059669"/>
          </w:tcPr>
          <w:p>
            <w:r>
              <w:rPr>
                <w:rFonts w:ascii="Times New Roman" w:hAnsi="Times New Roman" w:eastAsia="Times New Roman"/>
                <w:sz w:val="18"/>
              </w:rPr>
            </w:r>
            <w:r>
              <w:rPr>
                <w:rFonts w:ascii="Times New Roman" w:hAnsi="Times New Roman" w:eastAsia="Times New Roman"/>
                <w:b/>
                <w:color w:val="FFFFFF"/>
                <w:sz w:val="18"/>
              </w:rPr>
              <w:t>Procédure</w:t>
            </w:r>
          </w:p>
        </w:tc>
        <w:tc>
          <w:tcPr>
            <w:tcW w:type="dxa" w:w="2520"/>
            <w:vAlign w:val="center"/>
            <w:shd w:fill="059669"/>
          </w:tcPr>
          <w:p>
            <w:r>
              <w:rPr>
                <w:rFonts w:ascii="Times New Roman" w:hAnsi="Times New Roman" w:eastAsia="Times New Roman"/>
                <w:sz w:val="18"/>
              </w:rPr>
            </w:r>
            <w:r>
              <w:rPr>
                <w:rFonts w:ascii="Times New Roman" w:hAnsi="Times New Roman" w:eastAsia="Times New Roman"/>
                <w:b/>
                <w:color w:val="FFFFFF"/>
                <w:sz w:val="18"/>
              </w:rPr>
              <w:t>Résultat</w:t>
            </w:r>
          </w:p>
        </w:tc>
        <w:tc>
          <w:tcPr>
            <w:tcW w:type="dxa" w:w="1584"/>
            <w:vAlign w:val="center"/>
            <w:shd w:fill="059669"/>
          </w:tcPr>
          <w:p>
            <w:r>
              <w:rPr>
                <w:rFonts w:ascii="Times New Roman" w:hAnsi="Times New Roman" w:eastAsia="Times New Roman"/>
                <w:sz w:val="18"/>
              </w:rPr>
            </w:r>
            <w:r>
              <w:rPr>
                <w:rFonts w:ascii="Times New Roman" w:hAnsi="Times New Roman" w:eastAsia="Times New Roman"/>
                <w:b/>
                <w:color w:val="FFFFFF"/>
                <w:sz w:val="18"/>
              </w:rPr>
              <w:t>État</w:t>
            </w:r>
          </w:p>
        </w:tc>
      </w:tr>
      <w:tr>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Enrôlement NPI / DID</w:t>
            </w:r>
          </w:p>
        </w:tc>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Saisie d’un NPI synthétique et acceptation des conditions</w:t>
            </w:r>
          </w:p>
        </w:tc>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Création d’un DID, d’un credential et verrouillage local</w:t>
            </w:r>
          </w:p>
        </w:tc>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Validé en simulation</w:t>
            </w:r>
          </w:p>
        </w:tc>
      </w:tr>
      <w:tr>
        <w:tc>
          <w:tcPr>
            <w:tcW w:type="dxa" w:w="2448"/>
            <w:vAlign w:val="center"/>
          </w:tcPr>
          <w:p>
            <w:r>
              <w:rPr>
                <w:rFonts w:ascii="Times New Roman" w:hAnsi="Times New Roman" w:eastAsia="Times New Roman"/>
                <w:sz w:val="18"/>
              </w:rPr>
            </w:r>
            <w:r>
              <w:rPr>
                <w:rFonts w:ascii="Times New Roman" w:hAnsi="Times New Roman" w:eastAsia="Times New Roman"/>
                <w:b w:val="0"/>
                <w:sz w:val="18"/>
              </w:rPr>
              <w:t>Consentement</w:t>
            </w:r>
          </w:p>
        </w:tc>
        <w:tc>
          <w:tcPr>
            <w:tcW w:type="dxa" w:w="2448"/>
            <w:vAlign w:val="center"/>
          </w:tcPr>
          <w:p>
            <w:r>
              <w:rPr>
                <w:rFonts w:ascii="Times New Roman" w:hAnsi="Times New Roman" w:eastAsia="Times New Roman"/>
                <w:sz w:val="18"/>
              </w:rPr>
            </w:r>
            <w:r>
              <w:rPr>
                <w:rFonts w:ascii="Times New Roman" w:hAnsi="Times New Roman" w:eastAsia="Times New Roman"/>
                <w:b w:val="0"/>
                <w:sz w:val="18"/>
              </w:rPr>
              <w:t>Ouverture d’une demande, accord/refus/révocation</w:t>
            </w:r>
          </w:p>
        </w:tc>
        <w:tc>
          <w:tcPr>
            <w:tcW w:type="dxa" w:w="2448"/>
            <w:vAlign w:val="center"/>
          </w:tcPr>
          <w:p>
            <w:r>
              <w:rPr>
                <w:rFonts w:ascii="Times New Roman" w:hAnsi="Times New Roman" w:eastAsia="Times New Roman"/>
                <w:sz w:val="18"/>
              </w:rPr>
            </w:r>
            <w:r>
              <w:rPr>
                <w:rFonts w:ascii="Times New Roman" w:hAnsi="Times New Roman" w:eastAsia="Times New Roman"/>
                <w:b w:val="0"/>
                <w:sz w:val="18"/>
              </w:rPr>
              <w:t>État modifié et événement d’audit créé</w:t>
            </w:r>
          </w:p>
        </w:tc>
        <w:tc>
          <w:tcPr>
            <w:tcW w:type="dxa" w:w="2448"/>
            <w:vAlign w:val="center"/>
          </w:tcPr>
          <w:p>
            <w:r>
              <w:rPr>
                <w:rFonts w:ascii="Times New Roman" w:hAnsi="Times New Roman" w:eastAsia="Times New Roman"/>
                <w:sz w:val="18"/>
              </w:rPr>
            </w:r>
            <w:r>
              <w:rPr>
                <w:rFonts w:ascii="Times New Roman" w:hAnsi="Times New Roman" w:eastAsia="Times New Roman"/>
                <w:b w:val="0"/>
                <w:sz w:val="18"/>
              </w:rPr>
              <w:t>Validé</w:t>
            </w:r>
          </w:p>
        </w:tc>
      </w:tr>
      <w:tr>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Audit</w:t>
            </w:r>
          </w:p>
        </w:tc>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Recherche, filtres, détail, export JSON</w:t>
            </w:r>
          </w:p>
        </w:tc>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Journal lisible et exportable</w:t>
            </w:r>
          </w:p>
        </w:tc>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Validé</w:t>
            </w:r>
          </w:p>
        </w:tc>
      </w:tr>
      <w:tr>
        <w:tc>
          <w:tcPr>
            <w:tcW w:type="dxa" w:w="2448"/>
            <w:vAlign w:val="center"/>
          </w:tcPr>
          <w:p>
            <w:r>
              <w:rPr>
                <w:rFonts w:ascii="Times New Roman" w:hAnsi="Times New Roman" w:eastAsia="Times New Roman"/>
                <w:sz w:val="18"/>
              </w:rPr>
            </w:r>
            <w:r>
              <w:rPr>
                <w:rFonts w:ascii="Times New Roman" w:hAnsi="Times New Roman" w:eastAsia="Times New Roman"/>
                <w:b w:val="0"/>
                <w:sz w:val="18"/>
              </w:rPr>
              <w:t>Responsivité</w:t>
            </w:r>
          </w:p>
        </w:tc>
        <w:tc>
          <w:tcPr>
            <w:tcW w:type="dxa" w:w="2448"/>
            <w:vAlign w:val="center"/>
          </w:tcPr>
          <w:p>
            <w:r>
              <w:rPr>
                <w:rFonts w:ascii="Times New Roman" w:hAnsi="Times New Roman" w:eastAsia="Times New Roman"/>
                <w:sz w:val="18"/>
              </w:rPr>
            </w:r>
            <w:r>
              <w:rPr>
                <w:rFonts w:ascii="Times New Roman" w:hAnsi="Times New Roman" w:eastAsia="Times New Roman"/>
                <w:b w:val="0"/>
                <w:sz w:val="18"/>
              </w:rPr>
              <w:t>Exécution sur écran Android portrait</w:t>
            </w:r>
          </w:p>
        </w:tc>
        <w:tc>
          <w:tcPr>
            <w:tcW w:type="dxa" w:w="2448"/>
            <w:vAlign w:val="center"/>
          </w:tcPr>
          <w:p>
            <w:r>
              <w:rPr>
                <w:rFonts w:ascii="Times New Roman" w:hAnsi="Times New Roman" w:eastAsia="Times New Roman"/>
                <w:sz w:val="18"/>
              </w:rPr>
            </w:r>
            <w:r>
              <w:rPr>
                <w:rFonts w:ascii="Times New Roman" w:hAnsi="Times New Roman" w:eastAsia="Times New Roman"/>
                <w:b w:val="0"/>
                <w:sz w:val="18"/>
              </w:rPr>
              <w:t>Cartes, modales et audit adaptés au mobile</w:t>
            </w:r>
          </w:p>
        </w:tc>
        <w:tc>
          <w:tcPr>
            <w:tcW w:type="dxa" w:w="2448"/>
            <w:vAlign w:val="center"/>
          </w:tcPr>
          <w:p>
            <w:r>
              <w:rPr>
                <w:rFonts w:ascii="Times New Roman" w:hAnsi="Times New Roman" w:eastAsia="Times New Roman"/>
                <w:sz w:val="18"/>
              </w:rPr>
            </w:r>
            <w:r>
              <w:rPr>
                <w:rFonts w:ascii="Times New Roman" w:hAnsi="Times New Roman" w:eastAsia="Times New Roman"/>
                <w:b w:val="0"/>
                <w:sz w:val="18"/>
              </w:rPr>
              <w:t>Validé après ajustements CSS</w:t>
            </w:r>
          </w:p>
        </w:tc>
      </w:tr>
      <w:tr>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Scan BLE</w:t>
            </w:r>
          </w:p>
        </w:tc>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Recherche de la montre AMIS avec localisation active</w:t>
            </w:r>
          </w:p>
        </w:tc>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Montre détectée avec RSSI d’environ -46 dBm</w:t>
            </w:r>
          </w:p>
        </w:tc>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Validé matériellement</w:t>
            </w:r>
          </w:p>
        </w:tc>
      </w:tr>
      <w:tr>
        <w:tc>
          <w:tcPr>
            <w:tcW w:type="dxa" w:w="2448"/>
            <w:vAlign w:val="center"/>
          </w:tcPr>
          <w:p>
            <w:r>
              <w:rPr>
                <w:rFonts w:ascii="Times New Roman" w:hAnsi="Times New Roman" w:eastAsia="Times New Roman"/>
                <w:sz w:val="18"/>
              </w:rPr>
            </w:r>
            <w:r>
              <w:rPr>
                <w:rFonts w:ascii="Times New Roman" w:hAnsi="Times New Roman" w:eastAsia="Times New Roman"/>
                <w:b w:val="0"/>
                <w:sz w:val="18"/>
              </w:rPr>
              <w:t>Connexion GATT</w:t>
            </w:r>
          </w:p>
        </w:tc>
        <w:tc>
          <w:tcPr>
            <w:tcW w:type="dxa" w:w="2448"/>
            <w:vAlign w:val="center"/>
          </w:tcPr>
          <w:p>
            <w:r>
              <w:rPr>
                <w:rFonts w:ascii="Times New Roman" w:hAnsi="Times New Roman" w:eastAsia="Times New Roman"/>
                <w:sz w:val="18"/>
              </w:rPr>
            </w:r>
            <w:r>
              <w:rPr>
                <w:rFonts w:ascii="Times New Roman" w:hAnsi="Times New Roman" w:eastAsia="Times New Roman"/>
                <w:b w:val="0"/>
                <w:sz w:val="18"/>
              </w:rPr>
              <w:t>Connexion via nRF Connect</w:t>
            </w:r>
          </w:p>
        </w:tc>
        <w:tc>
          <w:tcPr>
            <w:tcW w:type="dxa" w:w="2448"/>
            <w:vAlign w:val="center"/>
          </w:tcPr>
          <w:p>
            <w:r>
              <w:rPr>
                <w:rFonts w:ascii="Times New Roman" w:hAnsi="Times New Roman" w:eastAsia="Times New Roman"/>
                <w:sz w:val="18"/>
              </w:rPr>
            </w:r>
            <w:r>
              <w:rPr>
                <w:rFonts w:ascii="Times New Roman" w:hAnsi="Times New Roman" w:eastAsia="Times New Roman"/>
                <w:b w:val="0"/>
                <w:sz w:val="18"/>
              </w:rPr>
              <w:t>Services standards et propriétaires découverts</w:t>
            </w:r>
          </w:p>
        </w:tc>
        <w:tc>
          <w:tcPr>
            <w:tcW w:type="dxa" w:w="2448"/>
            <w:vAlign w:val="center"/>
          </w:tcPr>
          <w:p>
            <w:r>
              <w:rPr>
                <w:rFonts w:ascii="Times New Roman" w:hAnsi="Times New Roman" w:eastAsia="Times New Roman"/>
                <w:sz w:val="18"/>
              </w:rPr>
            </w:r>
            <w:r>
              <w:rPr>
                <w:rFonts w:ascii="Times New Roman" w:hAnsi="Times New Roman" w:eastAsia="Times New Roman"/>
                <w:b w:val="0"/>
                <w:sz w:val="18"/>
              </w:rPr>
              <w:t>Validé matériellement</w:t>
            </w:r>
          </w:p>
        </w:tc>
      </w:tr>
      <w:tr>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Paquets RDFit</w:t>
            </w:r>
          </w:p>
        </w:tc>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Journal HCI durant les actions santé</w:t>
            </w:r>
          </w:p>
        </w:tc>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Trames de requête et de réponse corrélées</w:t>
            </w:r>
          </w:p>
        </w:tc>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Validé exploratoirement</w:t>
            </w:r>
          </w:p>
        </w:tc>
      </w:tr>
    </w:tbl>
    <w:p/>
    <w:p>
      <w:pPr>
        <w:jc w:val="center"/>
      </w:pPr>
      <w:r>
        <w:drawing>
          <wp:inline xmlns:a="http://schemas.openxmlformats.org/drawingml/2006/main" xmlns:pic="http://schemas.openxmlformats.org/drawingml/2006/picture">
            <wp:extent cx="2834640" cy="6346444"/>
            <wp:docPr id="1" name="Picture 1"/>
            <wp:cNvGraphicFramePr>
              <a:graphicFrameLocks noChangeAspect="1"/>
            </wp:cNvGraphicFramePr>
            <a:graphic>
              <a:graphicData uri="http://schemas.openxmlformats.org/drawingml/2006/picture">
                <pic:pic>
                  <pic:nvPicPr>
                    <pic:cNvPr id="0" name="Screenshot_20260813_192348.png"/>
                    <pic:cNvPicPr/>
                  </pic:nvPicPr>
                  <pic:blipFill>
                    <a:blip r:embed="rId11"/>
                    <a:stretch>
                      <a:fillRect/>
                    </a:stretch>
                  </pic:blipFill>
                  <pic:spPr>
                    <a:xfrm>
                      <a:off x="0" y="0"/>
                      <a:ext cx="2834640" cy="6346444"/>
                    </a:xfrm>
                    <a:prstGeom prst="rect"/>
                  </pic:spPr>
                </pic:pic>
              </a:graphicData>
            </a:graphic>
          </wp:inline>
        </w:drawing>
      </w:r>
    </w:p>
    <w:p>
      <w:pPr>
        <w:jc w:val="center"/>
      </w:pPr>
      <w:r>
        <w:rPr>
          <w:i/>
          <w:sz w:val="20"/>
        </w:rPr>
        <w:t>Figure 18 — Interface mobile MIDAS-Bénin : panneau de connexion BLE réelle de la montre AMIS.</w:t>
      </w:r>
    </w:p>
    <w:p>
      <w:pPr>
        <w:jc w:val="center"/>
      </w:pPr>
      <w:r>
        <w:drawing>
          <wp:inline xmlns:a="http://schemas.openxmlformats.org/drawingml/2006/main" xmlns:pic="http://schemas.openxmlformats.org/drawingml/2006/picture">
            <wp:extent cx="2743200" cy="6146589"/>
            <wp:docPr id="2" name="Picture 2"/>
            <wp:cNvGraphicFramePr>
              <a:graphicFrameLocks noChangeAspect="1"/>
            </wp:cNvGraphicFramePr>
            <a:graphic>
              <a:graphicData uri="http://schemas.openxmlformats.org/drawingml/2006/picture">
                <pic:pic>
                  <pic:nvPicPr>
                    <pic:cNvPr id="0" name="WhatsApp Image 2026-08-13 at 18.44.43.jpeg"/>
                    <pic:cNvPicPr/>
                  </pic:nvPicPr>
                  <pic:blipFill>
                    <a:blip r:embed="rId12"/>
                    <a:stretch>
                      <a:fillRect/>
                    </a:stretch>
                  </pic:blipFill>
                  <pic:spPr>
                    <a:xfrm>
                      <a:off x="0" y="0"/>
                      <a:ext cx="2743200" cy="6146589"/>
                    </a:xfrm>
                    <a:prstGeom prst="rect"/>
                  </pic:spPr>
                </pic:pic>
              </a:graphicData>
            </a:graphic>
          </wp:inline>
        </w:drawing>
      </w:r>
    </w:p>
    <w:p>
      <w:pPr>
        <w:jc w:val="center"/>
      </w:pPr>
      <w:r>
        <w:rPr>
          <w:i/>
          <w:sz w:val="20"/>
        </w:rPr>
        <w:t>Figure 19 — Connexion GATT établie et découverte des services propriétaires de la montre AMIS Watch5GTR.</w:t>
      </w:r>
    </w:p>
    <w:p>
      <w:pPr>
        <w:jc w:val="center"/>
      </w:pPr>
      <w:r>
        <w:drawing>
          <wp:inline xmlns:a="http://schemas.openxmlformats.org/drawingml/2006/main" xmlns:pic="http://schemas.openxmlformats.org/drawingml/2006/picture">
            <wp:extent cx="2743200" cy="6146589"/>
            <wp:docPr id="3" name="Picture 3"/>
            <wp:cNvGraphicFramePr>
              <a:graphicFrameLocks noChangeAspect="1"/>
            </wp:cNvGraphicFramePr>
            <a:graphic>
              <a:graphicData uri="http://schemas.openxmlformats.org/drawingml/2006/picture">
                <pic:pic>
                  <pic:nvPicPr>
                    <pic:cNvPr id="0" name="WhatsApp Image 2026-08-07 at 21.24.100.jpeg"/>
                    <pic:cNvPicPr/>
                  </pic:nvPicPr>
                  <pic:blipFill>
                    <a:blip r:embed="rId13"/>
                    <a:stretch>
                      <a:fillRect/>
                    </a:stretch>
                  </pic:blipFill>
                  <pic:spPr>
                    <a:xfrm>
                      <a:off x="0" y="0"/>
                      <a:ext cx="2743200" cy="6146589"/>
                    </a:xfrm>
                    <a:prstGeom prst="rect"/>
                  </pic:spPr>
                </pic:pic>
              </a:graphicData>
            </a:graphic>
          </wp:inline>
        </w:drawing>
      </w:r>
    </w:p>
    <w:p>
      <w:pPr>
        <w:jc w:val="center"/>
      </w:pPr>
      <w:r>
        <w:rPr>
          <w:i/>
          <w:sz w:val="20"/>
        </w:rPr>
        <w:t>Figure 20 — Détection de la montre AMIS Watch5GTR dans nRF Connect avant interrogation des services.</w:t>
      </w:r>
    </w:p>
    <w:p>
      <w:pPr>
        <w:pStyle w:val="Heading3"/>
      </w:pPr>
      <w:r>
        <w:t>Analyse des résultats BLE</w:t>
      </w:r>
    </w:p>
    <w:p>
      <w:r>
        <w:t>La connexion GATT directe à la montre AMIS Watch5GTR a été établie avec succès. La montre annonce une connectivité BLE et BR/EDR, une puissance de signal d’environ -46 dBm et des services propriétaires. L’analyse nRF Connect a révélé notamment un canal de type UART propriétaire, composé du service 6e40ab01-b5a3-f393-e0a9-e50e24dcca9e, d’une caractéristique d’écriture 6e40ab02… et d’une caractéristique de notification 6e40ab03…. Des services additionnels AE00, FEE7, 3802 et cc353442-be58-4ea2-876e-11d8d6976366 ont aussi été observés.</w:t>
      </w:r>
    </w:p>
    <w:p>
      <w:r>
        <w:t>Le journal BTSnoop a ensuite permis de corréler, à l’heure des actions exécutées dans RDFit, les trames de commande et les réponses de la montre. Les résultats ci-dessous doivent être compris comme une observation expérimentale du protocole RDFit propre à la montre testée.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944"/>
            <w:vAlign w:val="center"/>
            <w:shd w:fill="059669"/>
          </w:tcPr>
          <w:p>
            <w:r>
              <w:rPr>
                <w:rFonts w:ascii="Times New Roman" w:hAnsi="Times New Roman" w:eastAsia="Times New Roman"/>
                <w:sz w:val="18"/>
              </w:rPr>
            </w:r>
            <w:r>
              <w:rPr>
                <w:rFonts w:ascii="Times New Roman" w:hAnsi="Times New Roman" w:eastAsia="Times New Roman"/>
                <w:b/>
                <w:color w:val="FFFFFF"/>
                <w:sz w:val="18"/>
              </w:rPr>
              <w:t>Action réalisée</w:t>
            </w:r>
          </w:p>
        </w:tc>
        <w:tc>
          <w:tcPr>
            <w:tcW w:type="dxa" w:w="3096"/>
            <w:vAlign w:val="center"/>
            <w:shd w:fill="059669"/>
          </w:tcPr>
          <w:p>
            <w:r>
              <w:rPr>
                <w:rFonts w:ascii="Times New Roman" w:hAnsi="Times New Roman" w:eastAsia="Times New Roman"/>
                <w:sz w:val="18"/>
              </w:rPr>
            </w:r>
            <w:r>
              <w:rPr>
                <w:rFonts w:ascii="Times New Roman" w:hAnsi="Times New Roman" w:eastAsia="Times New Roman"/>
                <w:b/>
                <w:color w:val="FFFFFF"/>
                <w:sz w:val="18"/>
              </w:rPr>
              <w:t>Trame de commande observée</w:t>
            </w:r>
          </w:p>
        </w:tc>
        <w:tc>
          <w:tcPr>
            <w:tcW w:type="dxa" w:w="2952"/>
            <w:vAlign w:val="center"/>
            <w:shd w:fill="059669"/>
          </w:tcPr>
          <w:p>
            <w:r>
              <w:rPr>
                <w:rFonts w:ascii="Times New Roman" w:hAnsi="Times New Roman" w:eastAsia="Times New Roman"/>
                <w:sz w:val="18"/>
              </w:rPr>
            </w:r>
            <w:r>
              <w:rPr>
                <w:rFonts w:ascii="Times New Roman" w:hAnsi="Times New Roman" w:eastAsia="Times New Roman"/>
                <w:b/>
                <w:color w:val="FFFFFF"/>
                <w:sz w:val="18"/>
              </w:rPr>
              <w:t>Trame de réponse observée</w:t>
            </w:r>
          </w:p>
        </w:tc>
        <w:tc>
          <w:tcPr>
            <w:tcW w:type="dxa" w:w="2160"/>
            <w:vAlign w:val="center"/>
            <w:shd w:fill="059669"/>
          </w:tcPr>
          <w:p>
            <w:r>
              <w:rPr>
                <w:rFonts w:ascii="Times New Roman" w:hAnsi="Times New Roman" w:eastAsia="Times New Roman"/>
                <w:sz w:val="18"/>
              </w:rPr>
            </w:r>
            <w:r>
              <w:rPr>
                <w:rFonts w:ascii="Times New Roman" w:hAnsi="Times New Roman" w:eastAsia="Times New Roman"/>
                <w:b/>
                <w:color w:val="FFFFFF"/>
                <w:sz w:val="18"/>
              </w:rPr>
              <w:t>Valeur déduite</w:t>
            </w:r>
          </w:p>
        </w:tc>
      </w:tr>
      <w:tr>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Fréquence cardiaque</w:t>
            </w:r>
          </w:p>
        </w:tc>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 0A 20 01 01</w:t>
            </w:r>
          </w:p>
        </w:tc>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 0A 0A 58</w:t>
            </w:r>
          </w:p>
        </w:tc>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88 bpm</w:t>
            </w:r>
          </w:p>
        </w:tc>
      </w:tr>
      <w:tr>
        <w:tc>
          <w:tcPr>
            <w:tcW w:type="dxa" w:w="2448"/>
            <w:vAlign w:val="center"/>
          </w:tcPr>
          <w:p>
            <w:r>
              <w:rPr>
                <w:rFonts w:ascii="Times New Roman" w:hAnsi="Times New Roman" w:eastAsia="Times New Roman"/>
                <w:sz w:val="18"/>
              </w:rPr>
            </w:r>
            <w:r>
              <w:rPr>
                <w:rFonts w:ascii="Times New Roman" w:hAnsi="Times New Roman" w:eastAsia="Times New Roman"/>
                <w:b w:val="0"/>
                <w:sz w:val="18"/>
              </w:rPr>
              <w:t>SpO2</w:t>
            </w:r>
          </w:p>
        </w:tc>
        <w:tc>
          <w:tcPr>
            <w:tcW w:type="dxa" w:w="2448"/>
            <w:vAlign w:val="center"/>
          </w:tcPr>
          <w:p>
            <w:r>
              <w:rPr>
                <w:rFonts w:ascii="Times New Roman" w:hAnsi="Times New Roman" w:eastAsia="Times New Roman"/>
                <w:sz w:val="18"/>
              </w:rPr>
            </w:r>
            <w:r>
              <w:rPr>
                <w:rFonts w:ascii="Times New Roman" w:hAnsi="Times New Roman" w:eastAsia="Times New Roman"/>
                <w:b w:val="0"/>
                <w:sz w:val="18"/>
              </w:rPr>
              <w:t>… 0A 20 02 01</w:t>
            </w:r>
          </w:p>
        </w:tc>
        <w:tc>
          <w:tcPr>
            <w:tcW w:type="dxa" w:w="2448"/>
            <w:vAlign w:val="center"/>
          </w:tcPr>
          <w:p>
            <w:r>
              <w:rPr>
                <w:rFonts w:ascii="Times New Roman" w:hAnsi="Times New Roman" w:eastAsia="Times New Roman"/>
                <w:sz w:val="18"/>
              </w:rPr>
            </w:r>
            <w:r>
              <w:rPr>
                <w:rFonts w:ascii="Times New Roman" w:hAnsi="Times New Roman" w:eastAsia="Times New Roman"/>
                <w:b w:val="0"/>
                <w:sz w:val="18"/>
              </w:rPr>
              <w:t>… 0A 0D 5F</w:t>
            </w:r>
          </w:p>
        </w:tc>
        <w:tc>
          <w:tcPr>
            <w:tcW w:type="dxa" w:w="2448"/>
            <w:vAlign w:val="center"/>
          </w:tcPr>
          <w:p>
            <w:r>
              <w:rPr>
                <w:rFonts w:ascii="Times New Roman" w:hAnsi="Times New Roman" w:eastAsia="Times New Roman"/>
                <w:sz w:val="18"/>
              </w:rPr>
            </w:r>
            <w:r>
              <w:rPr>
                <w:rFonts w:ascii="Times New Roman" w:hAnsi="Times New Roman" w:eastAsia="Times New Roman"/>
                <w:b w:val="0"/>
                <w:sz w:val="18"/>
              </w:rPr>
              <w:t>95 %</w:t>
            </w:r>
          </w:p>
        </w:tc>
      </w:tr>
      <w:tr>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Tension estimée</w:t>
            </w:r>
          </w:p>
        </w:tc>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 0A 20 03 01</w:t>
            </w:r>
          </w:p>
        </w:tc>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 0A 0C 73 47</w:t>
            </w:r>
          </w:p>
        </w:tc>
        <w:tc>
          <w:tcPr>
            <w:tcW w:type="dxa" w:w="2448"/>
            <w:vAlign w:val="center"/>
            <w:shd w:fill="F0FDF4"/>
          </w:tcPr>
          <w:p>
            <w:r>
              <w:rPr>
                <w:rFonts w:ascii="Times New Roman" w:hAnsi="Times New Roman" w:eastAsia="Times New Roman"/>
                <w:sz w:val="18"/>
              </w:rPr>
            </w:r>
            <w:r>
              <w:rPr>
                <w:rFonts w:ascii="Times New Roman" w:hAnsi="Times New Roman" w:eastAsia="Times New Roman"/>
                <w:b w:val="0"/>
                <w:sz w:val="18"/>
              </w:rPr>
              <w:t>115/71 mmHg</w:t>
            </w:r>
          </w:p>
        </w:tc>
      </w:tr>
      <w:tr>
        <w:tc>
          <w:tcPr>
            <w:tcW w:type="dxa" w:w="2448"/>
            <w:vAlign w:val="center"/>
          </w:tcPr>
          <w:p>
            <w:r>
              <w:rPr>
                <w:rFonts w:ascii="Times New Roman" w:hAnsi="Times New Roman" w:eastAsia="Times New Roman"/>
                <w:sz w:val="18"/>
              </w:rPr>
            </w:r>
            <w:r>
              <w:rPr>
                <w:rFonts w:ascii="Times New Roman" w:hAnsi="Times New Roman" w:eastAsia="Times New Roman"/>
                <w:b w:val="0"/>
                <w:sz w:val="18"/>
              </w:rPr>
              <w:t>Recherche de la montre</w:t>
            </w:r>
          </w:p>
        </w:tc>
        <w:tc>
          <w:tcPr>
            <w:tcW w:type="dxa" w:w="2448"/>
            <w:vAlign w:val="center"/>
          </w:tcPr>
          <w:p>
            <w:r>
              <w:rPr>
                <w:rFonts w:ascii="Times New Roman" w:hAnsi="Times New Roman" w:eastAsia="Times New Roman"/>
                <w:sz w:val="18"/>
              </w:rPr>
            </w:r>
            <w:r>
              <w:rPr>
                <w:rFonts w:ascii="Times New Roman" w:hAnsi="Times New Roman" w:eastAsia="Times New Roman"/>
                <w:b w:val="0"/>
                <w:sz w:val="18"/>
              </w:rPr>
              <w:t>… 04 01</w:t>
            </w:r>
          </w:p>
        </w:tc>
        <w:tc>
          <w:tcPr>
            <w:tcW w:type="dxa" w:w="2448"/>
            <w:vAlign w:val="center"/>
          </w:tcPr>
          <w:p>
            <w:r>
              <w:rPr>
                <w:rFonts w:ascii="Times New Roman" w:hAnsi="Times New Roman" w:eastAsia="Times New Roman"/>
                <w:sz w:val="18"/>
              </w:rPr>
            </w:r>
            <w:r>
              <w:rPr>
                <w:rFonts w:ascii="Times New Roman" w:hAnsi="Times New Roman" w:eastAsia="Times New Roman"/>
                <w:b w:val="0"/>
                <w:sz w:val="18"/>
              </w:rPr>
              <w:t>Accusé de réception observé</w:t>
            </w:r>
          </w:p>
        </w:tc>
        <w:tc>
          <w:tcPr>
            <w:tcW w:type="dxa" w:w="2448"/>
            <w:vAlign w:val="center"/>
          </w:tcPr>
          <w:p>
            <w:r>
              <w:rPr>
                <w:rFonts w:ascii="Times New Roman" w:hAnsi="Times New Roman" w:eastAsia="Times New Roman"/>
                <w:sz w:val="18"/>
              </w:rPr>
            </w:r>
            <w:r>
              <w:rPr>
                <w:rFonts w:ascii="Times New Roman" w:hAnsi="Times New Roman" w:eastAsia="Times New Roman"/>
                <w:b w:val="0"/>
                <w:sz w:val="18"/>
              </w:rPr>
              <w:t>Vibration / localisation</w:t>
            </w:r>
          </w:p>
        </w:tc>
      </w:tr>
    </w:tbl>
    <w:p/>
    <w:p>
      <w:r>
        <w:t>Ces résultats permettent d’implémenter un premier décodeur RDFit dans l’application Android. Toutefois, ils ne constituent pas une spécification officielle du fabricant : les commandes sont limitées à celles observées, et les valeurs de santé restent des indicateurs de bien-être. Les fonctions de sommeil, pas, batterie, musique, notifications textuelles et mise à jour firmware nécessitent des observations supplémentaires avant toute intégration.</w:t>
      </w:r>
    </w:p>
    <w:p>
      <w:pPr>
        <w:pStyle w:val="Heading2"/>
      </w:pPr>
      <w:r>
        <w:t>4.2.2 Analyse critique du prototype MIDAS-Bénin : apports, limites et perspectives</w:t>
      </w:r>
    </w:p>
    <w:p>
      <w:pPr>
        <w:pStyle w:val="Heading3"/>
      </w:pPr>
      <w:r>
        <w:t>Apports et avantages</w:t>
      </w:r>
    </w:p>
    <w:tbl>
      <w:tblPr>
        <w:tblStyle w:val="TableGrid"/>
        <w:tblW w:type="auto" w:w="0"/>
        <w:jc w:val="center"/>
        <w:tblLook w:firstColumn="1" w:firstRow="1" w:lastColumn="0" w:lastRow="0" w:noHBand="0" w:noVBand="1" w:val="04A0"/>
      </w:tblPr>
      <w:tblGrid>
        <w:gridCol w:w="4896"/>
        <w:gridCol w:w="4896"/>
      </w:tblGrid>
      <w:tr>
        <w:tc>
          <w:tcPr>
            <w:tcW w:type="dxa" w:w="2304"/>
            <w:vAlign w:val="center"/>
            <w:shd w:fill="059669"/>
          </w:tcPr>
          <w:p>
            <w:r>
              <w:rPr>
                <w:rFonts w:ascii="Times New Roman" w:hAnsi="Times New Roman" w:eastAsia="Times New Roman"/>
                <w:sz w:val="18"/>
              </w:rPr>
            </w:r>
            <w:r>
              <w:rPr>
                <w:rFonts w:ascii="Times New Roman" w:hAnsi="Times New Roman" w:eastAsia="Times New Roman"/>
                <w:b/>
                <w:color w:val="FFFFFF"/>
                <w:sz w:val="18"/>
              </w:rPr>
              <w:t>Dimension</w:t>
            </w:r>
          </w:p>
        </w:tc>
        <w:tc>
          <w:tcPr>
            <w:tcW w:type="dxa" w:w="7776"/>
            <w:vAlign w:val="center"/>
            <w:shd w:fill="059669"/>
          </w:tcPr>
          <w:p>
            <w:r>
              <w:rPr>
                <w:rFonts w:ascii="Times New Roman" w:hAnsi="Times New Roman" w:eastAsia="Times New Roman"/>
                <w:sz w:val="18"/>
              </w:rPr>
            </w:r>
            <w:r>
              <w:rPr>
                <w:rFonts w:ascii="Times New Roman" w:hAnsi="Times New Roman" w:eastAsia="Times New Roman"/>
                <w:b/>
                <w:color w:val="FFFFFF"/>
                <w:sz w:val="18"/>
              </w:rPr>
              <w:t>Apport observé</w:t>
            </w:r>
          </w:p>
        </w:tc>
      </w:tr>
      <w:tr>
        <w:tc>
          <w:tcPr>
            <w:tcW w:type="dxa" w:w="4896"/>
            <w:vAlign w:val="center"/>
            <w:shd w:fill="F0FDF4"/>
          </w:tcPr>
          <w:p>
            <w:r>
              <w:rPr>
                <w:rFonts w:ascii="Times New Roman" w:hAnsi="Times New Roman" w:eastAsia="Times New Roman"/>
                <w:sz w:val="18"/>
              </w:rPr>
            </w:r>
            <w:r>
              <w:rPr>
                <w:rFonts w:ascii="Times New Roman" w:hAnsi="Times New Roman" w:eastAsia="Times New Roman"/>
                <w:b w:val="0"/>
                <w:sz w:val="18"/>
              </w:rPr>
              <w:t>Souveraineté citoyenne</w:t>
            </w:r>
          </w:p>
        </w:tc>
        <w:tc>
          <w:tcPr>
            <w:tcW w:type="dxa" w:w="4896"/>
            <w:vAlign w:val="center"/>
            <w:shd w:fill="F0FDF4"/>
          </w:tcPr>
          <w:p>
            <w:r>
              <w:rPr>
                <w:rFonts w:ascii="Times New Roman" w:hAnsi="Times New Roman" w:eastAsia="Times New Roman"/>
                <w:sz w:val="18"/>
              </w:rPr>
            </w:r>
            <w:r>
              <w:rPr>
                <w:rFonts w:ascii="Times New Roman" w:hAnsi="Times New Roman" w:eastAsia="Times New Roman"/>
                <w:b w:val="0"/>
                <w:sz w:val="18"/>
              </w:rPr>
              <w:t>Le citoyen visualise son identité, ses consentements, ses objets et les actions auditables dans une seule interface.</w:t>
            </w:r>
          </w:p>
        </w:tc>
      </w:tr>
      <w:tr>
        <w:tc>
          <w:tcPr>
            <w:tcW w:type="dxa" w:w="4896"/>
            <w:vAlign w:val="center"/>
          </w:tcPr>
          <w:p>
            <w:r>
              <w:rPr>
                <w:rFonts w:ascii="Times New Roman" w:hAnsi="Times New Roman" w:eastAsia="Times New Roman"/>
                <w:sz w:val="18"/>
              </w:rPr>
            </w:r>
            <w:r>
              <w:rPr>
                <w:rFonts w:ascii="Times New Roman" w:hAnsi="Times New Roman" w:eastAsia="Times New Roman"/>
                <w:b w:val="0"/>
                <w:sz w:val="18"/>
              </w:rPr>
              <w:t>Traçabilité</w:t>
            </w:r>
          </w:p>
        </w:tc>
        <w:tc>
          <w:tcPr>
            <w:tcW w:type="dxa" w:w="4896"/>
            <w:vAlign w:val="center"/>
          </w:tcPr>
          <w:p>
            <w:r>
              <w:rPr>
                <w:rFonts w:ascii="Times New Roman" w:hAnsi="Times New Roman" w:eastAsia="Times New Roman"/>
                <w:sz w:val="18"/>
              </w:rPr>
            </w:r>
            <w:r>
              <w:rPr>
                <w:rFonts w:ascii="Times New Roman" w:hAnsi="Times New Roman" w:eastAsia="Times New Roman"/>
                <w:b w:val="0"/>
                <w:sz w:val="18"/>
              </w:rPr>
              <w:t>Les accords, refus, révocations, appairages, exportations et mesures reçues génèrent des événements d’audit.</w:t>
            </w:r>
          </w:p>
        </w:tc>
      </w:tr>
      <w:tr>
        <w:tc>
          <w:tcPr>
            <w:tcW w:type="dxa" w:w="4896"/>
            <w:vAlign w:val="center"/>
            <w:shd w:fill="F0FDF4"/>
          </w:tcPr>
          <w:p>
            <w:r>
              <w:rPr>
                <w:rFonts w:ascii="Times New Roman" w:hAnsi="Times New Roman" w:eastAsia="Times New Roman"/>
                <w:sz w:val="18"/>
              </w:rPr>
            </w:r>
            <w:r>
              <w:rPr>
                <w:rFonts w:ascii="Times New Roman" w:hAnsi="Times New Roman" w:eastAsia="Times New Roman"/>
                <w:b w:val="0"/>
                <w:sz w:val="18"/>
              </w:rPr>
              <w:t>Compatibilité mobile</w:t>
            </w:r>
          </w:p>
        </w:tc>
        <w:tc>
          <w:tcPr>
            <w:tcW w:type="dxa" w:w="4896"/>
            <w:vAlign w:val="center"/>
            <w:shd w:fill="F0FDF4"/>
          </w:tcPr>
          <w:p>
            <w:r>
              <w:rPr>
                <w:rFonts w:ascii="Times New Roman" w:hAnsi="Times New Roman" w:eastAsia="Times New Roman"/>
                <w:sz w:val="18"/>
              </w:rPr>
            </w:r>
            <w:r>
              <w:rPr>
                <w:rFonts w:ascii="Times New Roman" w:hAnsi="Times New Roman" w:eastAsia="Times New Roman"/>
                <w:b w:val="0"/>
                <w:sz w:val="18"/>
              </w:rPr>
              <w:t>L’interface React a été adaptée aux écrans Android ; le conteneur Kotlin donne accès à la biométrie et au BLE.</w:t>
            </w:r>
          </w:p>
        </w:tc>
      </w:tr>
      <w:tr>
        <w:tc>
          <w:tcPr>
            <w:tcW w:type="dxa" w:w="4896"/>
            <w:vAlign w:val="center"/>
          </w:tcPr>
          <w:p>
            <w:r>
              <w:rPr>
                <w:rFonts w:ascii="Times New Roman" w:hAnsi="Times New Roman" w:eastAsia="Times New Roman"/>
                <w:sz w:val="18"/>
              </w:rPr>
            </w:r>
            <w:r>
              <w:rPr>
                <w:rFonts w:ascii="Times New Roman" w:hAnsi="Times New Roman" w:eastAsia="Times New Roman"/>
                <w:b w:val="0"/>
                <w:sz w:val="18"/>
              </w:rPr>
              <w:t>Interopérabilité progressive</w:t>
            </w:r>
          </w:p>
        </w:tc>
        <w:tc>
          <w:tcPr>
            <w:tcW w:type="dxa" w:w="4896"/>
            <w:vAlign w:val="center"/>
          </w:tcPr>
          <w:p>
            <w:r>
              <w:rPr>
                <w:rFonts w:ascii="Times New Roman" w:hAnsi="Times New Roman" w:eastAsia="Times New Roman"/>
                <w:sz w:val="18"/>
              </w:rPr>
            </w:r>
            <w:r>
              <w:rPr>
                <w:rFonts w:ascii="Times New Roman" w:hAnsi="Times New Roman" w:eastAsia="Times New Roman"/>
                <w:b w:val="0"/>
                <w:sz w:val="18"/>
              </w:rPr>
              <w:t>La connexion BLE réelle a été validée malgré l’usage d’un protocole RDFit propriétaire.</w:t>
            </w:r>
          </w:p>
        </w:tc>
      </w:tr>
      <w:tr>
        <w:tc>
          <w:tcPr>
            <w:tcW w:type="dxa" w:w="4896"/>
            <w:vAlign w:val="center"/>
            <w:shd w:fill="F0FDF4"/>
          </w:tcPr>
          <w:p>
            <w:r>
              <w:rPr>
                <w:rFonts w:ascii="Times New Roman" w:hAnsi="Times New Roman" w:eastAsia="Times New Roman"/>
                <w:sz w:val="18"/>
              </w:rPr>
            </w:r>
            <w:r>
              <w:rPr>
                <w:rFonts w:ascii="Times New Roman" w:hAnsi="Times New Roman" w:eastAsia="Times New Roman"/>
                <w:b w:val="0"/>
                <w:sz w:val="18"/>
              </w:rPr>
              <w:t>Minimisation</w:t>
            </w:r>
          </w:p>
        </w:tc>
        <w:tc>
          <w:tcPr>
            <w:tcW w:type="dxa" w:w="4896"/>
            <w:vAlign w:val="center"/>
            <w:shd w:fill="F0FDF4"/>
          </w:tcPr>
          <w:p>
            <w:r>
              <w:rPr>
                <w:rFonts w:ascii="Times New Roman" w:hAnsi="Times New Roman" w:eastAsia="Times New Roman"/>
                <w:sz w:val="18"/>
              </w:rPr>
            </w:r>
            <w:r>
              <w:rPr>
                <w:rFonts w:ascii="Times New Roman" w:hAnsi="Times New Roman" w:eastAsia="Times New Roman"/>
                <w:b w:val="0"/>
                <w:sz w:val="18"/>
              </w:rPr>
              <w:t>Les données sont conditionnées par le consentement et les commandes de la montre sont limitées aux actions observées.</w:t>
            </w:r>
          </w:p>
        </w:tc>
      </w:tr>
      <w:tr>
        <w:tc>
          <w:tcPr>
            <w:tcW w:type="dxa" w:w="4896"/>
            <w:vAlign w:val="center"/>
          </w:tcPr>
          <w:p>
            <w:r>
              <w:rPr>
                <w:rFonts w:ascii="Times New Roman" w:hAnsi="Times New Roman" w:eastAsia="Times New Roman"/>
                <w:sz w:val="18"/>
              </w:rPr>
            </w:r>
            <w:r>
              <w:rPr>
                <w:rFonts w:ascii="Times New Roman" w:hAnsi="Times New Roman" w:eastAsia="Times New Roman"/>
                <w:b w:val="0"/>
                <w:sz w:val="18"/>
              </w:rPr>
              <w:t>Coût</w:t>
            </w:r>
          </w:p>
        </w:tc>
        <w:tc>
          <w:tcPr>
            <w:tcW w:type="dxa" w:w="4896"/>
            <w:vAlign w:val="center"/>
          </w:tcPr>
          <w:p>
            <w:r>
              <w:rPr>
                <w:rFonts w:ascii="Times New Roman" w:hAnsi="Times New Roman" w:eastAsia="Times New Roman"/>
                <w:sz w:val="18"/>
              </w:rPr>
            </w:r>
            <w:r>
              <w:rPr>
                <w:rFonts w:ascii="Times New Roman" w:hAnsi="Times New Roman" w:eastAsia="Times New Roman"/>
                <w:b w:val="0"/>
                <w:sz w:val="18"/>
              </w:rPr>
              <w:t>La preuve de concept repose sur des outils gratuits : Android Studio, Kotlin, React, Vite, nRF Connect et ADB.</w:t>
            </w:r>
          </w:p>
        </w:tc>
      </w:tr>
    </w:tbl>
    <w:p/>
    <w:p>
      <w:pPr>
        <w:pStyle w:val="Heading3"/>
      </w:pPr>
      <w:r>
        <w:t>Limites observées</w:t>
      </w:r>
    </w:p>
    <w:tbl>
      <w:tblPr>
        <w:tblStyle w:val="TableGrid"/>
        <w:tblW w:type="auto" w:w="0"/>
        <w:jc w:val="center"/>
        <w:tblLook w:firstColumn="1" w:firstRow="1" w:lastColumn="0" w:lastRow="0" w:noHBand="0" w:noVBand="1" w:val="04A0"/>
      </w:tblPr>
      <w:tblGrid>
        <w:gridCol w:w="3264"/>
        <w:gridCol w:w="3264"/>
        <w:gridCol w:w="3264"/>
      </w:tblGrid>
      <w:tr>
        <w:tc>
          <w:tcPr>
            <w:tcW w:type="dxa" w:w="2232"/>
            <w:vAlign w:val="center"/>
            <w:shd w:fill="059669"/>
          </w:tcPr>
          <w:p>
            <w:r>
              <w:rPr>
                <w:rFonts w:ascii="Times New Roman" w:hAnsi="Times New Roman" w:eastAsia="Times New Roman"/>
                <w:sz w:val="18"/>
              </w:rPr>
            </w:r>
            <w:r>
              <w:rPr>
                <w:rFonts w:ascii="Times New Roman" w:hAnsi="Times New Roman" w:eastAsia="Times New Roman"/>
                <w:b/>
                <w:color w:val="FFFFFF"/>
                <w:sz w:val="18"/>
              </w:rPr>
              <w:t>Limite</w:t>
            </w:r>
          </w:p>
        </w:tc>
        <w:tc>
          <w:tcPr>
            <w:tcW w:type="dxa" w:w="3168"/>
            <w:vAlign w:val="center"/>
            <w:shd w:fill="059669"/>
          </w:tcPr>
          <w:p>
            <w:r>
              <w:rPr>
                <w:rFonts w:ascii="Times New Roman" w:hAnsi="Times New Roman" w:eastAsia="Times New Roman"/>
                <w:sz w:val="18"/>
              </w:rPr>
            </w:r>
            <w:r>
              <w:rPr>
                <w:rFonts w:ascii="Times New Roman" w:hAnsi="Times New Roman" w:eastAsia="Times New Roman"/>
                <w:b/>
                <w:color w:val="FFFFFF"/>
                <w:sz w:val="18"/>
              </w:rPr>
              <w:t>Conséquence</w:t>
            </w:r>
          </w:p>
        </w:tc>
        <w:tc>
          <w:tcPr>
            <w:tcW w:type="dxa" w:w="4680"/>
            <w:vAlign w:val="center"/>
            <w:shd w:fill="059669"/>
          </w:tcPr>
          <w:p>
            <w:r>
              <w:rPr>
                <w:rFonts w:ascii="Times New Roman" w:hAnsi="Times New Roman" w:eastAsia="Times New Roman"/>
                <w:sz w:val="18"/>
              </w:rPr>
            </w:r>
            <w:r>
              <w:rPr>
                <w:rFonts w:ascii="Times New Roman" w:hAnsi="Times New Roman" w:eastAsia="Times New Roman"/>
                <w:b/>
                <w:color w:val="FFFFFF"/>
                <w:sz w:val="18"/>
              </w:rPr>
              <w:t>Mesure de mitigation / perspective</w:t>
            </w:r>
          </w:p>
        </w:tc>
      </w:tr>
      <w:tr>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Absence d’ANIP</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Le NPI n’est pas vérifié nationalement</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Registre local synthétique ; intégration ANIP conditionnée à une autorisation formelle</w:t>
            </w:r>
          </w:p>
        </w:tc>
      </w:tr>
      <w:tr>
        <w:tc>
          <w:tcPr>
            <w:tcW w:type="dxa" w:w="3264"/>
            <w:vAlign w:val="center"/>
          </w:tcPr>
          <w:p>
            <w:r>
              <w:rPr>
                <w:rFonts w:ascii="Times New Roman" w:hAnsi="Times New Roman" w:eastAsia="Times New Roman"/>
                <w:sz w:val="18"/>
              </w:rPr>
            </w:r>
            <w:r>
              <w:rPr>
                <w:rFonts w:ascii="Times New Roman" w:hAnsi="Times New Roman" w:eastAsia="Times New Roman"/>
                <w:b w:val="0"/>
                <w:sz w:val="18"/>
              </w:rPr>
              <w:t>Protocole RDFit propriétaire</w:t>
            </w:r>
          </w:p>
        </w:tc>
        <w:tc>
          <w:tcPr>
            <w:tcW w:type="dxa" w:w="3264"/>
            <w:vAlign w:val="center"/>
          </w:tcPr>
          <w:p>
            <w:r>
              <w:rPr>
                <w:rFonts w:ascii="Times New Roman" w:hAnsi="Times New Roman" w:eastAsia="Times New Roman"/>
                <w:sz w:val="18"/>
              </w:rPr>
            </w:r>
            <w:r>
              <w:rPr>
                <w:rFonts w:ascii="Times New Roman" w:hAnsi="Times New Roman" w:eastAsia="Times New Roman"/>
                <w:b w:val="0"/>
                <w:sz w:val="18"/>
              </w:rPr>
              <w:t>Toutes les données ne sont pas immédiatement décodables</w:t>
            </w:r>
          </w:p>
        </w:tc>
        <w:tc>
          <w:tcPr>
            <w:tcW w:type="dxa" w:w="3264"/>
            <w:vAlign w:val="center"/>
          </w:tcPr>
          <w:p>
            <w:r>
              <w:rPr>
                <w:rFonts w:ascii="Times New Roman" w:hAnsi="Times New Roman" w:eastAsia="Times New Roman"/>
                <w:sz w:val="18"/>
              </w:rPr>
            </w:r>
            <w:r>
              <w:rPr>
                <w:rFonts w:ascii="Times New Roman" w:hAnsi="Times New Roman" w:eastAsia="Times New Roman"/>
                <w:b w:val="0"/>
                <w:sz w:val="18"/>
              </w:rPr>
              <w:t>Analyse HCI ciblée ; n’intégrer que les commandes vérifiées</w:t>
            </w:r>
          </w:p>
        </w:tc>
      </w:tr>
      <w:tr>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Montre grand public</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SpO2 et tension non certifiées médicalement</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Libellé « indicateur de bien-être » ; pas de diagnostic</w:t>
            </w:r>
          </w:p>
        </w:tc>
      </w:tr>
      <w:tr>
        <w:tc>
          <w:tcPr>
            <w:tcW w:type="dxa" w:w="3264"/>
            <w:vAlign w:val="center"/>
          </w:tcPr>
          <w:p>
            <w:r>
              <w:rPr>
                <w:rFonts w:ascii="Times New Roman" w:hAnsi="Times New Roman" w:eastAsia="Times New Roman"/>
                <w:sz w:val="18"/>
              </w:rPr>
            </w:r>
            <w:r>
              <w:rPr>
                <w:rFonts w:ascii="Times New Roman" w:hAnsi="Times New Roman" w:eastAsia="Times New Roman"/>
                <w:b w:val="0"/>
                <w:sz w:val="18"/>
              </w:rPr>
              <w:t>Pas de backend national</w:t>
            </w:r>
          </w:p>
        </w:tc>
        <w:tc>
          <w:tcPr>
            <w:tcW w:type="dxa" w:w="3264"/>
            <w:vAlign w:val="center"/>
          </w:tcPr>
          <w:p>
            <w:r>
              <w:rPr>
                <w:rFonts w:ascii="Times New Roman" w:hAnsi="Times New Roman" w:eastAsia="Times New Roman"/>
                <w:sz w:val="18"/>
              </w:rPr>
            </w:r>
            <w:r>
              <w:rPr>
                <w:rFonts w:ascii="Times New Roman" w:hAnsi="Times New Roman" w:eastAsia="Times New Roman"/>
                <w:b w:val="0"/>
                <w:sz w:val="18"/>
              </w:rPr>
              <w:t>Pas de persistance serveur ni d’Iroha réel</w:t>
            </w:r>
          </w:p>
        </w:tc>
        <w:tc>
          <w:tcPr>
            <w:tcW w:type="dxa" w:w="3264"/>
            <w:vAlign w:val="center"/>
          </w:tcPr>
          <w:p>
            <w:r>
              <w:rPr>
                <w:rFonts w:ascii="Times New Roman" w:hAnsi="Times New Roman" w:eastAsia="Times New Roman"/>
                <w:sz w:val="18"/>
              </w:rPr>
            </w:r>
            <w:r>
              <w:rPr>
                <w:rFonts w:ascii="Times New Roman" w:hAnsi="Times New Roman" w:eastAsia="Times New Roman"/>
                <w:b w:val="0"/>
                <w:sz w:val="18"/>
              </w:rPr>
              <w:t>Hash chain locale et simulation d’ancrage ; déploiement futur contrôlé</w:t>
            </w:r>
          </w:p>
        </w:tc>
      </w:tr>
      <w:tr>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Unicité locale du DID</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L’unicité est limitée à l’installation Android</w:t>
            </w:r>
          </w:p>
        </w:tc>
        <w:tc>
          <w:tcPr>
            <w:tcW w:type="dxa" w:w="3264"/>
            <w:vAlign w:val="center"/>
            <w:shd w:fill="F0FDF4"/>
          </w:tcPr>
          <w:p>
            <w:r>
              <w:rPr>
                <w:rFonts w:ascii="Times New Roman" w:hAnsi="Times New Roman" w:eastAsia="Times New Roman"/>
                <w:sz w:val="18"/>
              </w:rPr>
            </w:r>
            <w:r>
              <w:rPr>
                <w:rFonts w:ascii="Times New Roman" w:hAnsi="Times New Roman" w:eastAsia="Times New Roman"/>
                <w:b w:val="0"/>
                <w:sz w:val="18"/>
              </w:rPr>
              <w:t>Registre DID et vérification institutionnelle à prévoir en production</w:t>
            </w:r>
          </w:p>
        </w:tc>
      </w:tr>
      <w:tr>
        <w:tc>
          <w:tcPr>
            <w:tcW w:type="dxa" w:w="3264"/>
            <w:vAlign w:val="center"/>
          </w:tcPr>
          <w:p>
            <w:r>
              <w:rPr>
                <w:rFonts w:ascii="Times New Roman" w:hAnsi="Times New Roman" w:eastAsia="Times New Roman"/>
                <w:sz w:val="18"/>
              </w:rPr>
            </w:r>
            <w:r>
              <w:rPr>
                <w:rFonts w:ascii="Times New Roman" w:hAnsi="Times New Roman" w:eastAsia="Times New Roman"/>
                <w:b w:val="0"/>
                <w:sz w:val="18"/>
              </w:rPr>
              <w:t>Tests matériels limités</w:t>
            </w:r>
          </w:p>
        </w:tc>
        <w:tc>
          <w:tcPr>
            <w:tcW w:type="dxa" w:w="3264"/>
            <w:vAlign w:val="center"/>
          </w:tcPr>
          <w:p>
            <w:r>
              <w:rPr>
                <w:rFonts w:ascii="Times New Roman" w:hAnsi="Times New Roman" w:eastAsia="Times New Roman"/>
                <w:sz w:val="18"/>
              </w:rPr>
            </w:r>
            <w:r>
              <w:rPr>
                <w:rFonts w:ascii="Times New Roman" w:hAnsi="Times New Roman" w:eastAsia="Times New Roman"/>
                <w:b w:val="0"/>
                <w:sz w:val="18"/>
              </w:rPr>
              <w:t>Une seule famille de montre testée</w:t>
            </w:r>
          </w:p>
        </w:tc>
        <w:tc>
          <w:tcPr>
            <w:tcW w:type="dxa" w:w="3264"/>
            <w:vAlign w:val="center"/>
          </w:tcPr>
          <w:p>
            <w:r>
              <w:rPr>
                <w:rFonts w:ascii="Times New Roman" w:hAnsi="Times New Roman" w:eastAsia="Times New Roman"/>
                <w:sz w:val="18"/>
              </w:rPr>
            </w:r>
            <w:r>
              <w:rPr>
                <w:rFonts w:ascii="Times New Roman" w:hAnsi="Times New Roman" w:eastAsia="Times New Roman"/>
                <w:b w:val="0"/>
                <w:sz w:val="18"/>
              </w:rPr>
              <w:t>Répéter les essais sur plusieurs modèles BLE et plusieurs téléphones</w:t>
            </w:r>
          </w:p>
        </w:tc>
      </w:tr>
    </w:tbl>
    <w:p/>
    <w:p>
      <w:pPr>
        <w:pStyle w:val="Heading3"/>
      </w:pPr>
      <w:r>
        <w:t>Discussion</w:t>
      </w:r>
    </w:p>
    <w:p>
      <w:r>
        <w:t>Les résultats confirment la faisabilité du rôle de hub de confiance attribué au smartphone dans l’architecture MIDAS-Bénin. Le téléphone parvient à relier une interface citoyenne, un mécanisme biométrique Android, une logique de consentement et un objet connecté réel. La connexion à l’AMIS Watch5GTR est particulièrement significative, car elle montre que l’architecture ne repose pas exclusivement sur des données statiques : elle peut interagir avec un périphérique BLE réel et observer ses échanges propriétaires.</w:t>
      </w:r>
    </w:p>
    <w:p>
      <w:r>
        <w:t>La difficulté principale concerne l’interopérabilité. L’absence de service standard de fréquence cardiaque impose une phase d’observation du protocole RDFit. Cette limite confirme la pertinence de la couche de traitement proposée au Chapitre 3 : elle doit inclure des adaptateurs par fabricant, une validation stricte des formats de paquets et une séparation entre la collecte technique et l’interprétation métier des mesures.</w:t>
      </w:r>
    </w:p>
    <w:p>
      <w:r>
        <w:t>Enfin, la solution proposée ne doit pas être interprétée comme un dispositif médical. La valeur scientifique du prototype réside dans la démonstration du contrôle citoyen, de la traçabilité, de l’enrôlement et de la connexion sécurisée d’objets IoT, et non dans la validation clinique des capteurs grand public.</w:t>
      </w:r>
    </w:p>
    <w:p>
      <w:pPr>
        <w:pStyle w:val="Heading1"/>
      </w:pPr>
      <w:r>
        <w:t>Conclusion du chapitre</w:t>
      </w:r>
    </w:p>
    <w:p>
      <w:r>
        <w:t>Ce chapitre a présenté la mise en œuvre et les résultats expérimentaux de MIDAS-Bénin. Le prototype a permis de valider une interface de portefeuille citoyen, un mécanisme d’enrôlement local fondé sur un NPI de démonstration, la génération d’un DID, la gestion de consentements, l’export et l’audit des actions. L’expérimentation matérielle avec la montre AMIS Watch5GTR a confirmé la détection BLE, la connexion GATT, la découverte de services propriétaires et l’observation de trames RDFit correspondant à des mesures de rythme cardiaque, SpO2, tension estimée et recherche de montre. Les résultats soutiennent la faisabilité conceptuelle de l’architecture à cinq couches, tout en mettant en évidence les prérequis nécessaires à un déploiement institutionnel : API ANIP, gouvernance APDP, infrastructure souveraine, spécifications constructeurs et audits de sécurité.</w:t>
      </w:r>
    </w:p>
    <w:p>
      <w:r>
        <w:br w:type="page"/>
      </w:r>
    </w:p>
    <w:p>
      <w:pPr>
        <w:pStyle w:val="Heading2"/>
      </w:pPr>
      <w:r>
        <w:t>4.2.1.1 Atlas des interfaces expérimentales et description fonctionnelle</w:t>
      </w:r>
    </w:p>
    <w:p>
      <w:r>
        <w:t>Les figures suivantes documentent les écrans effectivement obtenus lors de l’exécution du prototype Android MIDAS-Bénin. Elles constituent des preuves visuelles complémentaires des tests fonctionnels présentés à la section 4.2.1. Chaque description précise la fonction représentée et, lorsque nécessaire, rappelle le périmètre de simulation académique.</w:t>
      </w:r>
    </w:p>
    <w:p>
      <w:pPr>
        <w:jc w:val="center"/>
      </w:pPr>
      <w:r>
        <w:drawing>
          <wp:inline xmlns:a="http://schemas.openxmlformats.org/drawingml/2006/main" xmlns:pic="http://schemas.openxmlformats.org/drawingml/2006/picture">
            <wp:extent cx="2148840" cy="4811014"/>
            <wp:docPr id="4" name="Picture 4"/>
            <wp:cNvGraphicFramePr>
              <a:graphicFrameLocks noChangeAspect="1"/>
            </wp:cNvGraphicFramePr>
            <a:graphic>
              <a:graphicData uri="http://schemas.openxmlformats.org/drawingml/2006/picture">
                <pic:pic>
                  <pic:nvPicPr>
                    <pic:cNvPr id="0" name="Screenshot_20260815_225928.png"/>
                    <pic:cNvPicPr/>
                  </pic:nvPicPr>
                  <pic:blipFill>
                    <a:blip r:embed="rId14"/>
                    <a:stretch>
                      <a:fillRect/>
                    </a:stretch>
                  </pic:blipFill>
                  <pic:spPr>
                    <a:xfrm>
                      <a:off x="0" y="0"/>
                      <a:ext cx="2148840" cy="4811014"/>
                    </a:xfrm>
                    <a:prstGeom prst="rect"/>
                  </pic:spPr>
                </pic:pic>
              </a:graphicData>
            </a:graphic>
          </wp:inline>
        </w:drawing>
      </w:r>
    </w:p>
    <w:p>
      <w:pPr>
        <w:jc w:val="center"/>
      </w:pPr>
      <w:r>
        <w:rPr>
          <w:rFonts w:ascii="Times New Roman" w:hAnsi="Times New Roman"/>
          <w:i/>
          <w:sz w:val="18"/>
        </w:rPr>
        <w:t>Figure 21 — Tableau de bord citoyen : synthèse de l’état du portefeuille.</w:t>
      </w:r>
    </w:p>
    <w:p>
      <w:pPr>
        <w:spacing w:after="200"/>
      </w:pPr>
      <w:r>
        <w:rPr>
          <w:b/>
        </w:rPr>
        <w:t xml:space="preserve">Fonction représentée : </w:t>
      </w:r>
      <w:r>
        <w:t>Cette vue présente les indicateurs principaux : consentements actifs, nombre total de consentements, objets IoT connectés et activité d’audit. Elle constitue le point d’entrée du citoyen vers les fonctions de contrôle et de supervision.</w:t>
      </w:r>
    </w:p>
    <w:p>
      <w:pPr>
        <w:jc w:val="center"/>
      </w:pPr>
      <w:r>
        <w:drawing>
          <wp:inline xmlns:a="http://schemas.openxmlformats.org/drawingml/2006/main" xmlns:pic="http://schemas.openxmlformats.org/drawingml/2006/picture">
            <wp:extent cx="2148840" cy="4811014"/>
            <wp:docPr id="5" name="Picture 5"/>
            <wp:cNvGraphicFramePr>
              <a:graphicFrameLocks noChangeAspect="1"/>
            </wp:cNvGraphicFramePr>
            <a:graphic>
              <a:graphicData uri="http://schemas.openxmlformats.org/drawingml/2006/picture">
                <pic:pic>
                  <pic:nvPicPr>
                    <pic:cNvPr id="0" name="Screenshot_20260815_225956.png"/>
                    <pic:cNvPicPr/>
                  </pic:nvPicPr>
                  <pic:blipFill>
                    <a:blip r:embed="rId15"/>
                    <a:stretch>
                      <a:fillRect/>
                    </a:stretch>
                  </pic:blipFill>
                  <pic:spPr>
                    <a:xfrm>
                      <a:off x="0" y="0"/>
                      <a:ext cx="2148840" cy="4811014"/>
                    </a:xfrm>
                    <a:prstGeom prst="rect"/>
                  </pic:spPr>
                </pic:pic>
              </a:graphicData>
            </a:graphic>
          </wp:inline>
        </w:drawing>
      </w:r>
    </w:p>
    <w:p>
      <w:pPr>
        <w:jc w:val="center"/>
      </w:pPr>
      <w:r>
        <w:rPr>
          <w:rFonts w:ascii="Times New Roman" w:hAnsi="Times New Roman"/>
          <w:i/>
          <w:sz w:val="18"/>
        </w:rPr>
        <w:t>Figure 22 — Activité récente et accès rapide aux fonctions du portefeuille.</w:t>
      </w:r>
    </w:p>
    <w:p>
      <w:pPr>
        <w:spacing w:after="200"/>
      </w:pPr>
      <w:r>
        <w:rPr>
          <w:b/>
        </w:rPr>
        <w:t xml:space="preserve">Fonction représentée : </w:t>
      </w:r>
      <w:r>
        <w:t>La liste récapitule les événements récents du journal. Les actions rapides permettent d’accéder à l’appairage IoT, à l’identité numérique et aux e-services. Le panneau « Action requise » signale une demande de consentement en attente.</w:t>
      </w:r>
    </w:p>
    <w:p>
      <w:r>
        <w:br w:type="page"/>
      </w:r>
    </w:p>
    <w:p>
      <w:pPr>
        <w:jc w:val="center"/>
      </w:pPr>
      <w:r>
        <w:drawing>
          <wp:inline xmlns:a="http://schemas.openxmlformats.org/drawingml/2006/main" xmlns:pic="http://schemas.openxmlformats.org/drawingml/2006/picture">
            <wp:extent cx="2148840" cy="4811014"/>
            <wp:docPr id="6" name="Picture 6"/>
            <wp:cNvGraphicFramePr>
              <a:graphicFrameLocks noChangeAspect="1"/>
            </wp:cNvGraphicFramePr>
            <a:graphic>
              <a:graphicData uri="http://schemas.openxmlformats.org/drawingml/2006/picture">
                <pic:pic>
                  <pic:nvPicPr>
                    <pic:cNvPr id="0" name="Screenshot_20260815_230005.png"/>
                    <pic:cNvPicPr/>
                  </pic:nvPicPr>
                  <pic:blipFill>
                    <a:blip r:embed="rId16"/>
                    <a:stretch>
                      <a:fillRect/>
                    </a:stretch>
                  </pic:blipFill>
                  <pic:spPr>
                    <a:xfrm>
                      <a:off x="0" y="0"/>
                      <a:ext cx="2148840" cy="4811014"/>
                    </a:xfrm>
                    <a:prstGeom prst="rect"/>
                  </pic:spPr>
                </pic:pic>
              </a:graphicData>
            </a:graphic>
          </wp:inline>
        </w:drawing>
      </w:r>
    </w:p>
    <w:p>
      <w:pPr>
        <w:jc w:val="center"/>
      </w:pPr>
      <w:r>
        <w:rPr>
          <w:rFonts w:ascii="Times New Roman" w:hAnsi="Times New Roman"/>
          <w:i/>
          <w:sz w:val="18"/>
        </w:rPr>
        <w:t>Figure 23 — Alerte de consentement et statut de sécurité.</w:t>
      </w:r>
    </w:p>
    <w:p>
      <w:pPr>
        <w:spacing w:after="200"/>
      </w:pPr>
      <w:r>
        <w:rPr>
          <w:b/>
        </w:rPr>
        <w:t xml:space="preserve">Fonction représentée : </w:t>
      </w:r>
      <w:r>
        <w:t>Cette capture illustre la notification d’une demande de consentement ainsi que le panneau de sécurité. Les mentions de chiffrement, Keystore/StrongBox et audit blockchain sont présentées comme des capacités du prototype ou des simulations documentées.</w:t>
      </w:r>
    </w:p>
    <w:p>
      <w:pPr>
        <w:jc w:val="center"/>
      </w:pPr>
      <w:r>
        <w:drawing>
          <wp:inline xmlns:a="http://schemas.openxmlformats.org/drawingml/2006/main" xmlns:pic="http://schemas.openxmlformats.org/drawingml/2006/picture">
            <wp:extent cx="2148840" cy="4811014"/>
            <wp:docPr id="7" name="Picture 7"/>
            <wp:cNvGraphicFramePr>
              <a:graphicFrameLocks noChangeAspect="1"/>
            </wp:cNvGraphicFramePr>
            <a:graphic>
              <a:graphicData uri="http://schemas.openxmlformats.org/drawingml/2006/picture">
                <pic:pic>
                  <pic:nvPicPr>
                    <pic:cNvPr id="0" name="Screenshot_20260815_230021.png"/>
                    <pic:cNvPicPr/>
                  </pic:nvPicPr>
                  <pic:blipFill>
                    <a:blip r:embed="rId17"/>
                    <a:stretch>
                      <a:fillRect/>
                    </a:stretch>
                  </pic:blipFill>
                  <pic:spPr>
                    <a:xfrm>
                      <a:off x="0" y="0"/>
                      <a:ext cx="2148840" cy="4811014"/>
                    </a:xfrm>
                    <a:prstGeom prst="rect"/>
                  </pic:spPr>
                </pic:pic>
              </a:graphicData>
            </a:graphic>
          </wp:inline>
        </w:drawing>
      </w:r>
    </w:p>
    <w:p>
      <w:pPr>
        <w:jc w:val="center"/>
      </w:pPr>
      <w:r>
        <w:rPr>
          <w:rFonts w:ascii="Times New Roman" w:hAnsi="Times New Roman"/>
          <w:i/>
          <w:sz w:val="18"/>
        </w:rPr>
        <w:t>Figure 24 — Carte d’identité numérique du citoyen.</w:t>
      </w:r>
    </w:p>
    <w:p>
      <w:pPr>
        <w:spacing w:after="200"/>
      </w:pPr>
      <w:r>
        <w:rPr>
          <w:b/>
        </w:rPr>
        <w:t xml:space="preserve">Fonction représentée : </w:t>
      </w:r>
      <w:r>
        <w:t>La carte regroupe le NPI, le DID généré à l’enrôlement, les boutons de copie et les indicateurs de protection. Elle matérialise le portefeuille DID/VC présenté dans l’architecture MIDAS-Bénin.</w:t>
      </w:r>
    </w:p>
    <w:p>
      <w:r>
        <w:br w:type="page"/>
      </w:r>
    </w:p>
    <w:p>
      <w:pPr>
        <w:jc w:val="center"/>
      </w:pPr>
      <w:r>
        <w:drawing>
          <wp:inline xmlns:a="http://schemas.openxmlformats.org/drawingml/2006/main" xmlns:pic="http://schemas.openxmlformats.org/drawingml/2006/picture">
            <wp:extent cx="2148840" cy="4811014"/>
            <wp:docPr id="8" name="Picture 8"/>
            <wp:cNvGraphicFramePr>
              <a:graphicFrameLocks noChangeAspect="1"/>
            </wp:cNvGraphicFramePr>
            <a:graphic>
              <a:graphicData uri="http://schemas.openxmlformats.org/drawingml/2006/picture">
                <pic:pic>
                  <pic:nvPicPr>
                    <pic:cNvPr id="0" name="Screenshot_20260815_231615.png"/>
                    <pic:cNvPicPr/>
                  </pic:nvPicPr>
                  <pic:blipFill>
                    <a:blip r:embed="rId18"/>
                    <a:stretch>
                      <a:fillRect/>
                    </a:stretch>
                  </pic:blipFill>
                  <pic:spPr>
                    <a:xfrm>
                      <a:off x="0" y="0"/>
                      <a:ext cx="2148840" cy="4811014"/>
                    </a:xfrm>
                    <a:prstGeom prst="rect"/>
                  </pic:spPr>
                </pic:pic>
              </a:graphicData>
            </a:graphic>
          </wp:inline>
        </w:drawing>
      </w:r>
    </w:p>
    <w:p>
      <w:pPr>
        <w:jc w:val="center"/>
      </w:pPr>
      <w:r>
        <w:rPr>
          <w:rFonts w:ascii="Times New Roman" w:hAnsi="Times New Roman"/>
          <w:i/>
          <w:sz w:val="18"/>
        </w:rPr>
        <w:t>Figure 25 — Informations personnelles et amorce des credentials.</w:t>
      </w:r>
    </w:p>
    <w:p>
      <w:pPr>
        <w:spacing w:after="200"/>
      </w:pPr>
      <w:r>
        <w:rPr>
          <w:b/>
        </w:rPr>
        <w:t xml:space="preserve">Fonction représentée : </w:t>
      </w:r>
      <w:r>
        <w:t>La page affiche les informations résolues par le registre NPI simulé : naissance, adresse, téléphone, courriel et date d’enrôlement. Les données affichées sont synthétiques dans le cadre expérimental.</w:t>
      </w:r>
    </w:p>
    <w:p>
      <w:pPr>
        <w:jc w:val="center"/>
      </w:pPr>
      <w:r>
        <w:drawing>
          <wp:inline xmlns:a="http://schemas.openxmlformats.org/drawingml/2006/main" xmlns:pic="http://schemas.openxmlformats.org/drawingml/2006/picture">
            <wp:extent cx="2148840" cy="4811014"/>
            <wp:docPr id="9" name="Picture 9"/>
            <wp:cNvGraphicFramePr>
              <a:graphicFrameLocks noChangeAspect="1"/>
            </wp:cNvGraphicFramePr>
            <a:graphic>
              <a:graphicData uri="http://schemas.openxmlformats.org/drawingml/2006/picture">
                <pic:pic>
                  <pic:nvPicPr>
                    <pic:cNvPr id="0" name="Screenshot_20260815_231636.png"/>
                    <pic:cNvPicPr/>
                  </pic:nvPicPr>
                  <pic:blipFill>
                    <a:blip r:embed="rId19"/>
                    <a:stretch>
                      <a:fillRect/>
                    </a:stretch>
                  </pic:blipFill>
                  <pic:spPr>
                    <a:xfrm>
                      <a:off x="0" y="0"/>
                      <a:ext cx="2148840" cy="4811014"/>
                    </a:xfrm>
                    <a:prstGeom prst="rect"/>
                  </pic:spPr>
                </pic:pic>
              </a:graphicData>
            </a:graphic>
          </wp:inline>
        </w:drawing>
      </w:r>
    </w:p>
    <w:p>
      <w:pPr>
        <w:jc w:val="center"/>
      </w:pPr>
      <w:r>
        <w:rPr>
          <w:rFonts w:ascii="Times New Roman" w:hAnsi="Times New Roman"/>
          <w:i/>
          <w:sz w:val="18"/>
        </w:rPr>
        <w:t>Figure 26 — Credential d’identité nationale simulé.</w:t>
      </w:r>
    </w:p>
    <w:p>
      <w:pPr>
        <w:spacing w:after="200"/>
      </w:pPr>
      <w:r>
        <w:rPr>
          <w:b/>
        </w:rPr>
        <w:t xml:space="preserve">Fonction représentée : </w:t>
      </w:r>
      <w:r>
        <w:t>Le credential contient son émetteur de simulation, ses dates de validité et les attributs certifiés. Le bouton « Présenter » simule une présentation sélective à un e-service sans transmettre une identité réelle.</w:t>
      </w:r>
    </w:p>
    <w:p>
      <w:r>
        <w:br w:type="page"/>
      </w:r>
    </w:p>
    <w:p>
      <w:pPr>
        <w:jc w:val="center"/>
      </w:pPr>
      <w:r>
        <w:drawing>
          <wp:inline xmlns:a="http://schemas.openxmlformats.org/drawingml/2006/main" xmlns:pic="http://schemas.openxmlformats.org/drawingml/2006/picture">
            <wp:extent cx="2148840" cy="4811014"/>
            <wp:docPr id="10" name="Picture 10"/>
            <wp:cNvGraphicFramePr>
              <a:graphicFrameLocks noChangeAspect="1"/>
            </wp:cNvGraphicFramePr>
            <a:graphic>
              <a:graphicData uri="http://schemas.openxmlformats.org/drawingml/2006/picture">
                <pic:pic>
                  <pic:nvPicPr>
                    <pic:cNvPr id="0" name="Screenshot_20260815_231656.png"/>
                    <pic:cNvPicPr/>
                  </pic:nvPicPr>
                  <pic:blipFill>
                    <a:blip r:embed="rId20"/>
                    <a:stretch>
                      <a:fillRect/>
                    </a:stretch>
                  </pic:blipFill>
                  <pic:spPr>
                    <a:xfrm>
                      <a:off x="0" y="0"/>
                      <a:ext cx="2148840" cy="4811014"/>
                    </a:xfrm>
                    <a:prstGeom prst="rect"/>
                  </pic:spPr>
                </pic:pic>
              </a:graphicData>
            </a:graphic>
          </wp:inline>
        </w:drawing>
      </w:r>
    </w:p>
    <w:p>
      <w:pPr>
        <w:jc w:val="center"/>
      </w:pPr>
      <w:r>
        <w:rPr>
          <w:rFonts w:ascii="Times New Roman" w:hAnsi="Times New Roman"/>
          <w:i/>
          <w:sz w:val="18"/>
        </w:rPr>
        <w:t>Figure 27 — Synthèse de la gestion des consentements.</w:t>
      </w:r>
    </w:p>
    <w:p>
      <w:pPr>
        <w:spacing w:after="200"/>
      </w:pPr>
      <w:r>
        <w:rPr>
          <w:b/>
        </w:rPr>
        <w:t xml:space="preserve">Fonction représentée : </w:t>
      </w:r>
      <w:r>
        <w:t>Les compteurs distinguent les consentements actifs, les demandes en attente, les décisions historiques et le total. La demande Smart City Cotonou peut être examinée par le citoyen.</w:t>
      </w:r>
    </w:p>
    <w:p>
      <w:pPr>
        <w:jc w:val="center"/>
      </w:pPr>
      <w:r>
        <w:drawing>
          <wp:inline xmlns:a="http://schemas.openxmlformats.org/drawingml/2006/main" xmlns:pic="http://schemas.openxmlformats.org/drawingml/2006/picture">
            <wp:extent cx="2148840" cy="4811014"/>
            <wp:docPr id="11" name="Picture 11"/>
            <wp:cNvGraphicFramePr>
              <a:graphicFrameLocks noChangeAspect="1"/>
            </wp:cNvGraphicFramePr>
            <a:graphic>
              <a:graphicData uri="http://schemas.openxmlformats.org/drawingml/2006/picture">
                <pic:pic>
                  <pic:nvPicPr>
                    <pic:cNvPr id="0" name="Screenshot_20260815_231714.png"/>
                    <pic:cNvPicPr/>
                  </pic:nvPicPr>
                  <pic:blipFill>
                    <a:blip r:embed="rId21"/>
                    <a:stretch>
                      <a:fillRect/>
                    </a:stretch>
                  </pic:blipFill>
                  <pic:spPr>
                    <a:xfrm>
                      <a:off x="0" y="0"/>
                      <a:ext cx="2148840" cy="4811014"/>
                    </a:xfrm>
                    <a:prstGeom prst="rect"/>
                  </pic:spPr>
                </pic:pic>
              </a:graphicData>
            </a:graphic>
          </wp:inline>
        </w:drawing>
      </w:r>
    </w:p>
    <w:p>
      <w:pPr>
        <w:jc w:val="center"/>
      </w:pPr>
      <w:r>
        <w:rPr>
          <w:rFonts w:ascii="Times New Roman" w:hAnsi="Times New Roman"/>
          <w:i/>
          <w:sz w:val="18"/>
        </w:rPr>
        <w:t>Figure 28 — Liste des consentements actifs et révocation.</w:t>
      </w:r>
    </w:p>
    <w:p>
      <w:pPr>
        <w:spacing w:after="200"/>
      </w:pPr>
      <w:r>
        <w:rPr>
          <w:b/>
        </w:rPr>
        <w:t xml:space="preserve">Fonction représentée : </w:t>
      </w:r>
      <w:r>
        <w:t>Chaque consentement affiche le responsable, la finalité, les catégories de données, l’expiration et l’action de révocation. La révocation génère une trace d’audit dans le prototype.</w:t>
      </w:r>
    </w:p>
    <w:p>
      <w:r>
        <w:br w:type="page"/>
      </w:r>
    </w:p>
    <w:p>
      <w:pPr>
        <w:jc w:val="center"/>
      </w:pPr>
      <w:r>
        <w:drawing>
          <wp:inline xmlns:a="http://schemas.openxmlformats.org/drawingml/2006/main" xmlns:pic="http://schemas.openxmlformats.org/drawingml/2006/picture">
            <wp:extent cx="2148840" cy="4811014"/>
            <wp:docPr id="12" name="Picture 12"/>
            <wp:cNvGraphicFramePr>
              <a:graphicFrameLocks noChangeAspect="1"/>
            </wp:cNvGraphicFramePr>
            <a:graphic>
              <a:graphicData uri="http://schemas.openxmlformats.org/drawingml/2006/picture">
                <pic:pic>
                  <pic:nvPicPr>
                    <pic:cNvPr id="0" name="Screenshot_20260815_231731.png"/>
                    <pic:cNvPicPr/>
                  </pic:nvPicPr>
                  <pic:blipFill>
                    <a:blip r:embed="rId22"/>
                    <a:stretch>
                      <a:fillRect/>
                    </a:stretch>
                  </pic:blipFill>
                  <pic:spPr>
                    <a:xfrm>
                      <a:off x="0" y="0"/>
                      <a:ext cx="2148840" cy="4811014"/>
                    </a:xfrm>
                    <a:prstGeom prst="rect"/>
                  </pic:spPr>
                </pic:pic>
              </a:graphicData>
            </a:graphic>
          </wp:inline>
        </w:drawing>
      </w:r>
    </w:p>
    <w:p>
      <w:pPr>
        <w:jc w:val="center"/>
      </w:pPr>
      <w:r>
        <w:rPr>
          <w:rFonts w:ascii="Times New Roman" w:hAnsi="Times New Roman"/>
          <w:i/>
          <w:sz w:val="18"/>
        </w:rPr>
        <w:t>Figure 29 — Gestion des objets IoT et panneau BLE de la montre AMIS.</w:t>
      </w:r>
    </w:p>
    <w:p>
      <w:pPr>
        <w:spacing w:after="200"/>
      </w:pPr>
      <w:r>
        <w:rPr>
          <w:b/>
        </w:rPr>
        <w:t xml:space="preserve">Fonction représentée : </w:t>
      </w:r>
      <w:r>
        <w:t>Cette vue ajoute la connexion BLE réelle de l’AMIS Watch5GTR : recherche, connexion, découverte des canaux GATT et indication que les valeurs provenant de la montre doivent être traitées comme des indicateurs de bien-être.</w:t>
      </w:r>
    </w:p>
    <w:p>
      <w:pPr>
        <w:jc w:val="center"/>
      </w:pPr>
      <w:r>
        <w:drawing>
          <wp:inline xmlns:a="http://schemas.openxmlformats.org/drawingml/2006/main" xmlns:pic="http://schemas.openxmlformats.org/drawingml/2006/picture">
            <wp:extent cx="2148840" cy="4811014"/>
            <wp:docPr id="13" name="Picture 13"/>
            <wp:cNvGraphicFramePr>
              <a:graphicFrameLocks noChangeAspect="1"/>
            </wp:cNvGraphicFramePr>
            <a:graphic>
              <a:graphicData uri="http://schemas.openxmlformats.org/drawingml/2006/picture">
                <pic:pic>
                  <pic:nvPicPr>
                    <pic:cNvPr id="0" name="Screenshot_20260815_231805.png"/>
                    <pic:cNvPicPr/>
                  </pic:nvPicPr>
                  <pic:blipFill>
                    <a:blip r:embed="rId23"/>
                    <a:stretch>
                      <a:fillRect/>
                    </a:stretch>
                  </pic:blipFill>
                  <pic:spPr>
                    <a:xfrm>
                      <a:off x="0" y="0"/>
                      <a:ext cx="2148840" cy="4811014"/>
                    </a:xfrm>
                    <a:prstGeom prst="rect"/>
                  </pic:spPr>
                </pic:pic>
              </a:graphicData>
            </a:graphic>
          </wp:inline>
        </w:drawing>
      </w:r>
    </w:p>
    <w:p>
      <w:pPr>
        <w:jc w:val="center"/>
      </w:pPr>
      <w:r>
        <w:rPr>
          <w:rFonts w:ascii="Times New Roman" w:hAnsi="Times New Roman"/>
          <w:i/>
          <w:sz w:val="18"/>
        </w:rPr>
        <w:t>Figure 30 — Objets médicaux simulés : tensiomètre et glucomètre.</w:t>
      </w:r>
    </w:p>
    <w:p>
      <w:pPr>
        <w:spacing w:after="200"/>
      </w:pPr>
      <w:r>
        <w:rPr>
          <w:b/>
        </w:rPr>
        <w:t xml:space="preserve">Fonction représentée : </w:t>
      </w:r>
      <w:r>
        <w:t>Les cartes présentent le statut, la localisation, la batterie, la dernière mesure et les commandes de synchronisation. Elles démontrent le modèle de gestion d’objets IoT de santé.</w:t>
      </w:r>
    </w:p>
    <w:p>
      <w:r>
        <w:br w:type="page"/>
      </w:r>
    </w:p>
    <w:p>
      <w:pPr>
        <w:jc w:val="center"/>
      </w:pPr>
      <w:r>
        <w:drawing>
          <wp:inline xmlns:a="http://schemas.openxmlformats.org/drawingml/2006/main" xmlns:pic="http://schemas.openxmlformats.org/drawingml/2006/picture">
            <wp:extent cx="2148840" cy="4811014"/>
            <wp:docPr id="14" name="Picture 14"/>
            <wp:cNvGraphicFramePr>
              <a:graphicFrameLocks noChangeAspect="1"/>
            </wp:cNvGraphicFramePr>
            <a:graphic>
              <a:graphicData uri="http://schemas.openxmlformats.org/drawingml/2006/picture">
                <pic:pic>
                  <pic:nvPicPr>
                    <pic:cNvPr id="0" name="Screenshot_20260815_231820.png"/>
                    <pic:cNvPicPr/>
                  </pic:nvPicPr>
                  <pic:blipFill>
                    <a:blip r:embed="rId24"/>
                    <a:stretch>
                      <a:fillRect/>
                    </a:stretch>
                  </pic:blipFill>
                  <pic:spPr>
                    <a:xfrm>
                      <a:off x="0" y="0"/>
                      <a:ext cx="2148840" cy="4811014"/>
                    </a:xfrm>
                    <a:prstGeom prst="rect"/>
                  </pic:spPr>
                </pic:pic>
              </a:graphicData>
            </a:graphic>
          </wp:inline>
        </w:drawing>
      </w:r>
    </w:p>
    <w:p>
      <w:pPr>
        <w:jc w:val="center"/>
      </w:pPr>
      <w:r>
        <w:rPr>
          <w:rFonts w:ascii="Times New Roman" w:hAnsi="Times New Roman"/>
          <w:i/>
          <w:sz w:val="18"/>
        </w:rPr>
        <w:t>Figure 31 — Capteurs agricoles simulés.</w:t>
      </w:r>
    </w:p>
    <w:p>
      <w:pPr>
        <w:spacing w:after="200"/>
      </w:pPr>
      <w:r>
        <w:rPr>
          <w:b/>
        </w:rPr>
        <w:t xml:space="preserve">Fonction représentée : </w:t>
      </w:r>
      <w:r>
        <w:t>La page montre les capteurs de température et d’humidité du sol, leurs dernières mesures, leur batterie et une alerte de batterie faible. Ce scénario illustre l’extension de MIDAS-Bénin au secteur agricole.</w:t>
      </w:r>
    </w:p>
    <w:p>
      <w:pPr>
        <w:jc w:val="center"/>
      </w:pPr>
      <w:r>
        <w:drawing>
          <wp:inline xmlns:a="http://schemas.openxmlformats.org/drawingml/2006/main" xmlns:pic="http://schemas.openxmlformats.org/drawingml/2006/picture">
            <wp:extent cx="2148840" cy="4811014"/>
            <wp:docPr id="15" name="Picture 15"/>
            <wp:cNvGraphicFramePr>
              <a:graphicFrameLocks noChangeAspect="1"/>
            </wp:cNvGraphicFramePr>
            <a:graphic>
              <a:graphicData uri="http://schemas.openxmlformats.org/drawingml/2006/picture">
                <pic:pic>
                  <pic:nvPicPr>
                    <pic:cNvPr id="0" name="Screenshot_20260815_231850.png"/>
                    <pic:cNvPicPr/>
                  </pic:nvPicPr>
                  <pic:blipFill>
                    <a:blip r:embed="rId25"/>
                    <a:stretch>
                      <a:fillRect/>
                    </a:stretch>
                  </pic:blipFill>
                  <pic:spPr>
                    <a:xfrm>
                      <a:off x="0" y="0"/>
                      <a:ext cx="2148840" cy="4811014"/>
                    </a:xfrm>
                    <a:prstGeom prst="rect"/>
                  </pic:spPr>
                </pic:pic>
              </a:graphicData>
            </a:graphic>
          </wp:inline>
        </w:drawing>
      </w:r>
    </w:p>
    <w:p>
      <w:pPr>
        <w:jc w:val="center"/>
      </w:pPr>
      <w:r>
        <w:rPr>
          <w:rFonts w:ascii="Times New Roman" w:hAnsi="Times New Roman"/>
          <w:i/>
          <w:sz w:val="18"/>
        </w:rPr>
        <w:t>Figure 32 — Catalogue des e-services.</w:t>
      </w:r>
    </w:p>
    <w:p>
      <w:pPr>
        <w:spacing w:after="200"/>
      </w:pPr>
      <w:r>
        <w:rPr>
          <w:b/>
        </w:rPr>
        <w:t xml:space="preserve">Fonction représentée : </w:t>
      </w:r>
      <w:r>
        <w:t>La page permet de rechercher et filtrer les e-services. Les indicateurs montrent les services connectés, en attente et disponibles. Les catégories sont adaptées à l’administration, la santé, la finance et l’agriculture.</w:t>
      </w:r>
    </w:p>
    <w:p>
      <w:r>
        <w:br w:type="page"/>
      </w:r>
    </w:p>
    <w:p>
      <w:pPr>
        <w:jc w:val="center"/>
      </w:pPr>
      <w:r>
        <w:drawing>
          <wp:inline xmlns:a="http://schemas.openxmlformats.org/drawingml/2006/main" xmlns:pic="http://schemas.openxmlformats.org/drawingml/2006/picture">
            <wp:extent cx="2148840" cy="4811014"/>
            <wp:docPr id="16" name="Picture 16"/>
            <wp:cNvGraphicFramePr>
              <a:graphicFrameLocks noChangeAspect="1"/>
            </wp:cNvGraphicFramePr>
            <a:graphic>
              <a:graphicData uri="http://schemas.openxmlformats.org/drawingml/2006/picture">
                <pic:pic>
                  <pic:nvPicPr>
                    <pic:cNvPr id="0" name="Screenshot_20260815_231909.png"/>
                    <pic:cNvPicPr/>
                  </pic:nvPicPr>
                  <pic:blipFill>
                    <a:blip r:embed="rId26"/>
                    <a:stretch>
                      <a:fillRect/>
                    </a:stretch>
                  </pic:blipFill>
                  <pic:spPr>
                    <a:xfrm>
                      <a:off x="0" y="0"/>
                      <a:ext cx="2148840" cy="4811014"/>
                    </a:xfrm>
                    <a:prstGeom prst="rect"/>
                  </pic:spPr>
                </pic:pic>
              </a:graphicData>
            </a:graphic>
          </wp:inline>
        </w:drawing>
      </w:r>
    </w:p>
    <w:p>
      <w:pPr>
        <w:jc w:val="center"/>
      </w:pPr>
      <w:r>
        <w:rPr>
          <w:rFonts w:ascii="Times New Roman" w:hAnsi="Times New Roman"/>
          <w:i/>
          <w:sz w:val="18"/>
        </w:rPr>
        <w:t>Figure 33 — E-services connectés et demande en attente.</w:t>
      </w:r>
    </w:p>
    <w:p>
      <w:pPr>
        <w:spacing w:after="200"/>
      </w:pPr>
      <w:r>
        <w:rPr>
          <w:b/>
        </w:rPr>
        <w:t xml:space="preserve">Fonction représentée : </w:t>
      </w:r>
      <w:r>
        <w:t>Les cartes de Dossier Médical Partagé et Smart City Cotonou indiquent les données requises, l’état de connexion et l’action associée. Le statut dépend du consentement simulé du citoyen.</w:t>
      </w:r>
    </w:p>
    <w:p>
      <w:pPr>
        <w:jc w:val="center"/>
      </w:pPr>
      <w:r>
        <w:drawing>
          <wp:inline xmlns:a="http://schemas.openxmlformats.org/drawingml/2006/main" xmlns:pic="http://schemas.openxmlformats.org/drawingml/2006/picture">
            <wp:extent cx="2148840" cy="4811014"/>
            <wp:docPr id="17" name="Picture 17"/>
            <wp:cNvGraphicFramePr>
              <a:graphicFrameLocks noChangeAspect="1"/>
            </wp:cNvGraphicFramePr>
            <a:graphic>
              <a:graphicData uri="http://schemas.openxmlformats.org/drawingml/2006/picture">
                <pic:pic>
                  <pic:nvPicPr>
                    <pic:cNvPr id="0" name="Screenshot_20260815_231922.png"/>
                    <pic:cNvPicPr/>
                  </pic:nvPicPr>
                  <pic:blipFill>
                    <a:blip r:embed="rId27"/>
                    <a:stretch>
                      <a:fillRect/>
                    </a:stretch>
                  </pic:blipFill>
                  <pic:spPr>
                    <a:xfrm>
                      <a:off x="0" y="0"/>
                      <a:ext cx="2148840" cy="4811014"/>
                    </a:xfrm>
                    <a:prstGeom prst="rect"/>
                  </pic:spPr>
                </pic:pic>
              </a:graphicData>
            </a:graphic>
          </wp:inline>
        </w:drawing>
      </w:r>
    </w:p>
    <w:p>
      <w:pPr>
        <w:jc w:val="center"/>
      </w:pPr>
      <w:r>
        <w:rPr>
          <w:rFonts w:ascii="Times New Roman" w:hAnsi="Times New Roman"/>
          <w:i/>
          <w:sz w:val="18"/>
        </w:rPr>
        <w:t>Figure 34 — E-services non connectés.</w:t>
      </w:r>
    </w:p>
    <w:p>
      <w:pPr>
        <w:spacing w:after="200"/>
      </w:pPr>
      <w:r>
        <w:rPr>
          <w:b/>
        </w:rPr>
        <w:t xml:space="preserve">Fonction représentée : </w:t>
      </w:r>
      <w:r>
        <w:t>AgriDigital Bénin et Mobile Money Bénin illustrent une demande d’accès aux données nécessaires. Le bouton « Se connecter » produit une demande de connexion simulée et ne contacte aucun service réel.</w:t>
      </w:r>
    </w:p>
    <w:p>
      <w:r>
        <w:br w:type="page"/>
      </w:r>
    </w:p>
    <w:p>
      <w:pPr>
        <w:jc w:val="center"/>
      </w:pPr>
      <w:r>
        <w:drawing>
          <wp:inline xmlns:a="http://schemas.openxmlformats.org/drawingml/2006/main" xmlns:pic="http://schemas.openxmlformats.org/drawingml/2006/picture">
            <wp:extent cx="2148840" cy="4811014"/>
            <wp:docPr id="18" name="Picture 18"/>
            <wp:cNvGraphicFramePr>
              <a:graphicFrameLocks noChangeAspect="1"/>
            </wp:cNvGraphicFramePr>
            <a:graphic>
              <a:graphicData uri="http://schemas.openxmlformats.org/drawingml/2006/picture">
                <pic:pic>
                  <pic:nvPicPr>
                    <pic:cNvPr id="0" name="Screenshot_20260815_231958.png"/>
                    <pic:cNvPicPr/>
                  </pic:nvPicPr>
                  <pic:blipFill>
                    <a:blip r:embed="rId28"/>
                    <a:stretch>
                      <a:fillRect/>
                    </a:stretch>
                  </pic:blipFill>
                  <pic:spPr>
                    <a:xfrm>
                      <a:off x="0" y="0"/>
                      <a:ext cx="2148840" cy="4811014"/>
                    </a:xfrm>
                    <a:prstGeom prst="rect"/>
                  </pic:spPr>
                </pic:pic>
              </a:graphicData>
            </a:graphic>
          </wp:inline>
        </w:drawing>
      </w:r>
    </w:p>
    <w:p>
      <w:pPr>
        <w:jc w:val="center"/>
      </w:pPr>
      <w:r>
        <w:rPr>
          <w:rFonts w:ascii="Times New Roman" w:hAnsi="Times New Roman"/>
          <w:i/>
          <w:sz w:val="18"/>
        </w:rPr>
        <w:t>Figure 35 — Tableau de bord du journal d’audit.</w:t>
      </w:r>
    </w:p>
    <w:p>
      <w:pPr>
        <w:spacing w:after="200"/>
      </w:pPr>
      <w:r>
        <w:rPr>
          <w:b/>
        </w:rPr>
        <w:t xml:space="preserve">Fonction représentée : </w:t>
      </w:r>
      <w:r>
        <w:t>Cette vue résume le volume d’événements, les ancrages de démonstration, les actions liées aux consentements et aux données. Le bloc Hyperledger Iroha 2 représente une simulation de registre permissionné.</w:t>
      </w:r>
    </w:p>
    <w:p>
      <w:pPr>
        <w:jc w:val="center"/>
      </w:pPr>
      <w:r>
        <w:drawing>
          <wp:inline xmlns:a="http://schemas.openxmlformats.org/drawingml/2006/main" xmlns:pic="http://schemas.openxmlformats.org/drawingml/2006/picture">
            <wp:extent cx="2148840" cy="4811014"/>
            <wp:docPr id="19" name="Picture 19"/>
            <wp:cNvGraphicFramePr>
              <a:graphicFrameLocks noChangeAspect="1"/>
            </wp:cNvGraphicFramePr>
            <a:graphic>
              <a:graphicData uri="http://schemas.openxmlformats.org/drawingml/2006/picture">
                <pic:pic>
                  <pic:nvPicPr>
                    <pic:cNvPr id="0" name="Screenshot_20260815_232019.png"/>
                    <pic:cNvPicPr/>
                  </pic:nvPicPr>
                  <pic:blipFill>
                    <a:blip r:embed="rId29"/>
                    <a:stretch>
                      <a:fillRect/>
                    </a:stretch>
                  </pic:blipFill>
                  <pic:spPr>
                    <a:xfrm>
                      <a:off x="0" y="0"/>
                      <a:ext cx="2148840" cy="4811014"/>
                    </a:xfrm>
                    <a:prstGeom prst="rect"/>
                  </pic:spPr>
                </pic:pic>
              </a:graphicData>
            </a:graphic>
          </wp:inline>
        </w:drawing>
      </w:r>
    </w:p>
    <w:p>
      <w:pPr>
        <w:jc w:val="center"/>
      </w:pPr>
      <w:r>
        <w:rPr>
          <w:rFonts w:ascii="Times New Roman" w:hAnsi="Times New Roman"/>
          <w:i/>
          <w:sz w:val="18"/>
        </w:rPr>
        <w:t>Figure 36 — Recherche et lecture mobile des événements d’audit.</w:t>
      </w:r>
    </w:p>
    <w:p>
      <w:pPr>
        <w:spacing w:after="200"/>
      </w:pPr>
      <w:r>
        <w:rPr>
          <w:b/>
        </w:rPr>
        <w:t xml:space="preserve">Fonction représentée : </w:t>
      </w:r>
      <w:r>
        <w:t>Sur téléphone, le tableau d’audit est rendu sous forme de cartes lisibles. Chaque événement expose action, détails, date et statut d’ancrage. Cette adaptation évite le défilement horizontal sur petit écran.</w:t>
      </w:r>
    </w:p>
    <w:p>
      <w:r>
        <w:br w:type="page"/>
      </w:r>
    </w:p>
    <w:p>
      <w:pPr>
        <w:jc w:val="center"/>
      </w:pPr>
      <w:r>
        <w:drawing>
          <wp:inline xmlns:a="http://schemas.openxmlformats.org/drawingml/2006/main" xmlns:pic="http://schemas.openxmlformats.org/drawingml/2006/picture">
            <wp:extent cx="2148840" cy="4811014"/>
            <wp:docPr id="20" name="Picture 20"/>
            <wp:cNvGraphicFramePr>
              <a:graphicFrameLocks noChangeAspect="1"/>
            </wp:cNvGraphicFramePr>
            <a:graphic>
              <a:graphicData uri="http://schemas.openxmlformats.org/drawingml/2006/picture">
                <pic:pic>
                  <pic:nvPicPr>
                    <pic:cNvPr id="0" name="Screenshot_20260815_232044.png"/>
                    <pic:cNvPicPr/>
                  </pic:nvPicPr>
                  <pic:blipFill>
                    <a:blip r:embed="rId30"/>
                    <a:stretch>
                      <a:fillRect/>
                    </a:stretch>
                  </pic:blipFill>
                  <pic:spPr>
                    <a:xfrm>
                      <a:off x="0" y="0"/>
                      <a:ext cx="2148840" cy="4811014"/>
                    </a:xfrm>
                    <a:prstGeom prst="rect"/>
                  </pic:spPr>
                </pic:pic>
              </a:graphicData>
            </a:graphic>
          </wp:inline>
        </w:drawing>
      </w:r>
    </w:p>
    <w:p>
      <w:pPr>
        <w:jc w:val="center"/>
      </w:pPr>
      <w:r>
        <w:rPr>
          <w:rFonts w:ascii="Times New Roman" w:hAnsi="Times New Roman"/>
          <w:i/>
          <w:sz w:val="18"/>
        </w:rPr>
        <w:t>Figure 37 — Paramètres de sécurité et de notifications.</w:t>
      </w:r>
    </w:p>
    <w:p>
      <w:pPr>
        <w:spacing w:after="200"/>
      </w:pPr>
      <w:r>
        <w:rPr>
          <w:b/>
        </w:rPr>
        <w:t xml:space="preserve">Fonction représentée : </w:t>
      </w:r>
      <w:r>
        <w:t>Le citoyen peut modifier les préférences de notification, choisir une apparence et visualiser l’état des protections. La biométrie est gérée localement par Android ; l’application ne stocke pas de données biométriques brutes.</w:t>
      </w:r>
    </w:p>
    <w:p>
      <w:pPr>
        <w:jc w:val="center"/>
      </w:pPr>
      <w:r>
        <w:drawing>
          <wp:inline xmlns:a="http://schemas.openxmlformats.org/drawingml/2006/main" xmlns:pic="http://schemas.openxmlformats.org/drawingml/2006/picture">
            <wp:extent cx="2148840" cy="4811014"/>
            <wp:docPr id="21" name="Picture 21"/>
            <wp:cNvGraphicFramePr>
              <a:graphicFrameLocks noChangeAspect="1"/>
            </wp:cNvGraphicFramePr>
            <a:graphic>
              <a:graphicData uri="http://schemas.openxmlformats.org/drawingml/2006/picture">
                <pic:pic>
                  <pic:nvPicPr>
                    <pic:cNvPr id="0" name="Screenshot_20260815_232108.png"/>
                    <pic:cNvPicPr/>
                  </pic:nvPicPr>
                  <pic:blipFill>
                    <a:blip r:embed="rId31"/>
                    <a:stretch>
                      <a:fillRect/>
                    </a:stretch>
                  </pic:blipFill>
                  <pic:spPr>
                    <a:xfrm>
                      <a:off x="0" y="0"/>
                      <a:ext cx="2148840" cy="4811014"/>
                    </a:xfrm>
                    <a:prstGeom prst="rect"/>
                  </pic:spPr>
                </pic:pic>
              </a:graphicData>
            </a:graphic>
          </wp:inline>
        </w:drawing>
      </w:r>
    </w:p>
    <w:p>
      <w:pPr>
        <w:jc w:val="center"/>
      </w:pPr>
      <w:r>
        <w:rPr>
          <w:rFonts w:ascii="Times New Roman" w:hAnsi="Times New Roman"/>
          <w:i/>
          <w:sz w:val="18"/>
        </w:rPr>
        <w:t>Figure 38 — Préférences de notification, apparence et droits.</w:t>
      </w:r>
    </w:p>
    <w:p>
      <w:pPr>
        <w:spacing w:after="200"/>
      </w:pPr>
      <w:r>
        <w:rPr>
          <w:b/>
        </w:rPr>
        <w:t xml:space="preserve">Fonction représentée : </w:t>
      </w:r>
      <w:r>
        <w:t>La page met en évidence les interrupteurs de notification, la sélection de thème et les droits de portabilité ou d’effacement. Les options agissent dans le périmètre local du prototype.</w:t>
      </w:r>
    </w:p>
    <w:p>
      <w:r>
        <w:br w:type="page"/>
      </w:r>
    </w:p>
    <w:p>
      <w:pPr>
        <w:jc w:val="center"/>
      </w:pPr>
      <w:r>
        <w:drawing>
          <wp:inline xmlns:a="http://schemas.openxmlformats.org/drawingml/2006/main" xmlns:pic="http://schemas.openxmlformats.org/drawingml/2006/picture">
            <wp:extent cx="2148840" cy="4811014"/>
            <wp:docPr id="22" name="Picture 22"/>
            <wp:cNvGraphicFramePr>
              <a:graphicFrameLocks noChangeAspect="1"/>
            </wp:cNvGraphicFramePr>
            <a:graphic>
              <a:graphicData uri="http://schemas.openxmlformats.org/drawingml/2006/picture">
                <pic:pic>
                  <pic:nvPicPr>
                    <pic:cNvPr id="0" name="Screenshot_20260815_232129.png"/>
                    <pic:cNvPicPr/>
                  </pic:nvPicPr>
                  <pic:blipFill>
                    <a:blip r:embed="rId32"/>
                    <a:stretch>
                      <a:fillRect/>
                    </a:stretch>
                  </pic:blipFill>
                  <pic:spPr>
                    <a:xfrm>
                      <a:off x="0" y="0"/>
                      <a:ext cx="2148840" cy="4811014"/>
                    </a:xfrm>
                    <a:prstGeom prst="rect"/>
                  </pic:spPr>
                </pic:pic>
              </a:graphicData>
            </a:graphic>
          </wp:inline>
        </w:drawing>
      </w:r>
    </w:p>
    <w:p>
      <w:pPr>
        <w:jc w:val="center"/>
      </w:pPr>
      <w:r>
        <w:rPr>
          <w:rFonts w:ascii="Times New Roman" w:hAnsi="Times New Roman"/>
          <w:i/>
          <w:sz w:val="18"/>
        </w:rPr>
        <w:t>Figure 39 — Portabilité, effacement et informations légales.</w:t>
      </w:r>
    </w:p>
    <w:p>
      <w:pPr>
        <w:spacing w:after="200"/>
      </w:pPr>
      <w:r>
        <w:rPr>
          <w:b/>
        </w:rPr>
        <w:t xml:space="preserve">Fonction représentée : </w:t>
      </w:r>
      <w:r>
        <w:t>Les boutons permettent de produire un export JSON et d’enregistrer une demande d’effacement de démonstration. Le bloc légal rappelle le positionnement académique de MIDAS-Bénin et la référence au Livre V du Code du Numérique.</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057857"/>
        <w:sz w:val="18"/>
      </w:rPr>
      <w:t>MIDAS-Bénin — Chapitre 4 : Mise en œuvre expérimentale et évaluation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eastAsia="Times New Roman"/>
      <w:b/>
      <w:bCs/>
      <w:color w:val="064E3B"/>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Times New Roman" w:hAnsi="Times New Roman" w:eastAsia="Times New Roman"/>
      <w:b/>
      <w:bCs/>
      <w:color w:val="047857"/>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Times New Roman" w:hAnsi="Times New Roman" w:eastAsia="Times New Roman"/>
      <w:b/>
      <w:bCs/>
      <w:color w:val="0596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