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i w:val="0"/>
          <w:sz w:val="32"/>
        </w:rPr>
        <w:t>Tiling Preserves Egg-Scale Features and Restores</w:t>
        <w:br/>
        <w:t>Cross-Study Generalization in AI-Assisted</w:t>
        <w:br/>
        <w:t>Schistosomiasis Urine Filtration Microscopy</w:t>
      </w:r>
    </w:p>
    <w:p>
      <w:pPr>
        <w:spacing w:after="80"/>
        <w:jc w:val="center"/>
      </w:pPr>
      <w:r>
        <w:rPr>
          <w:rFonts w:ascii="Times New Roman" w:hAnsi="Times New Roman"/>
          <w:b w:val="0"/>
          <w:i w:val="0"/>
          <w:sz w:val="24"/>
        </w:rPr>
        <w:t>Dylan Ashraf</w:t>
      </w:r>
    </w:p>
    <w:p>
      <w:pPr>
        <w:spacing w:after="480"/>
        <w:jc w:val="center"/>
      </w:pPr>
      <w:r>
        <w:rPr>
          <w:rFonts w:ascii="Times New Roman" w:hAnsi="Times New Roman"/>
          <w:b w:val="0"/>
          <w:i/>
          <w:sz w:val="22"/>
        </w:rPr>
      </w:r>
      <w:r>
        <w:rPr>
          <w:rFonts w:ascii="Times New Roman" w:hAnsi="Times New Roman"/>
          <w:i/>
          <w:sz w:val="22"/>
        </w:rPr>
        <w:t>High School Senior, American High School, Fremont, CA  |  Independent Researcher</w:t>
      </w:r>
    </w:p>
    <w:p>
      <w:r>
        <w:br w:type="page"/>
      </w:r>
    </w:p>
    <w:p>
      <w:pPr>
        <w:spacing w:before="0" w:after="120"/>
      </w:pPr>
      <w:r>
        <w:rPr>
          <w:rFonts w:ascii="Times New Roman" w:hAnsi="Times New Roman"/>
          <w:b/>
          <w:i w:val="0"/>
          <w:sz w:val="26"/>
        </w:rPr>
        <w:t>Abstract</w:t>
      </w:r>
    </w:p>
    <w:p>
      <w:pPr>
        <w:spacing w:before="0" w:after="160"/>
      </w:pPr>
      <w:r>
        <w:rPr>
          <w:rFonts w:ascii="Times New Roman" w:hAnsi="Times New Roman"/>
          <w:b w:val="0"/>
          <w:i w:val="0"/>
          <w:sz w:val="24"/>
        </w:rPr>
        <w:t>Automated detection of Schistosoma haematobium eggs in urine filtration microscopy holds promise for scalable population-level screening in resource-limited settings. We identify a critical failure mode in standard image classification pipelines: resizing 4032×3024 pixel microscopy images to the 224×224 model input size reduces S. haematobium egg diameter from approximately 100–200 pixels to 1–2 pixels, rendering eggs undetectable and forcing models to learn spurious image-level brightness features instead of egg morphology. This shortcut learning produces near-chance cross-study zero-shot generalization (AUC 0.592, 95% CI [0.525, 0.663]) despite strong within-study validation performance (AUC 0.801). We show that replacing full-image downsampling with a 6×5 grid of non-overlapping 640×640 pixel tiles (30 tiles per image) preserves eggs at 17–35 pixels after resize — a scale learnable by convolutional classifiers — and completely resolves the transfer failure, improving zero-shot cross-study AUC to 0.869 [0.817, 0.918] (+27.7 percentage points). We additionally present a conditional dual-modality routing framework that uses brightfield (BF) prediction confidence to selectively invoke darkfield (DF) inference, enabling a tunable tradeoff between computational cost and diagnostic accuracy. At 33% DF compute utilization, the routing system achieves AUC 0.879, a 1.0 percentage point improvement over BF-only at reduced resource cost. These findings establish egg-scale preservation as a prerequisite for cross-study transfer in schistosomiasis microscopy AI, with direct implications for field diagnostic deployment.</w:t>
      </w:r>
    </w:p>
    <w:p>
      <w:pPr>
        <w:spacing w:after="120"/>
      </w:pPr>
      <w:r>
        <w:rPr>
          <w:rFonts w:ascii="Times New Roman" w:hAnsi="Times New Roman"/>
          <w:b/>
          <w:i w:val="0"/>
          <w:sz w:val="24"/>
        </w:rPr>
        <w:t xml:space="preserve">Keywords: </w:t>
      </w:r>
      <w:r>
        <w:rPr>
          <w:rFonts w:ascii="Times New Roman" w:hAnsi="Times New Roman"/>
          <w:b w:val="0"/>
          <w:i w:val="0"/>
          <w:sz w:val="24"/>
        </w:rPr>
        <w:t>schistosomiasis, Schistosoma haematobium, deep learning, cross-study transfer, convolutional neural network, tiling, dual-modality, brightfield microscopy, darkfield microscopy, neglected tropical diseases</w:t>
      </w:r>
    </w:p>
    <w:p>
      <w:r>
        <w:br w:type="page"/>
      </w:r>
    </w:p>
    <w:p>
      <w:pPr>
        <w:spacing w:before="0" w:after="120"/>
      </w:pPr>
      <w:r>
        <w:rPr>
          <w:rFonts w:ascii="Times New Roman" w:hAnsi="Times New Roman"/>
          <w:b/>
          <w:i w:val="0"/>
          <w:sz w:val="26"/>
        </w:rPr>
        <w:t>1. Introduction</w:t>
      </w:r>
    </w:p>
    <w:p>
      <w:pPr>
        <w:spacing w:before="0" w:after="160"/>
        <w:ind w:firstLine="432"/>
      </w:pPr>
      <w:r>
        <w:rPr>
          <w:rFonts w:ascii="Times New Roman" w:hAnsi="Times New Roman"/>
          <w:b w:val="0"/>
          <w:i w:val="0"/>
          <w:sz w:val="24"/>
        </w:rPr>
        <w:t>Schistosomiasis is a chronic parasitic disease caused by blood flukes of the genus Schistosoma, affecting over 250 million people worldwide and responsible for an estimated 1.9 million disability-adjusted life years annually (WHO, 2023). The urogenital form, caused by Schistosoma haematobium, is endemic across sub-Saharan Africa and is diagnosed by microscopically detecting characteristic eggs in filtered urine specimens. Conventional diagnosis requires trained personnel to manually scan each filtration membrane — a process that is labor-intensive, prone to inter-observer variability, and difficult to scale for population-level surveillance and treatment programs.</w:t>
      </w:r>
    </w:p>
    <w:p>
      <w:pPr>
        <w:spacing w:before="0" w:after="160"/>
        <w:ind w:firstLine="432"/>
      </w:pPr>
      <w:r>
        <w:rPr>
          <w:rFonts w:ascii="Times New Roman" w:hAnsi="Times New Roman"/>
          <w:b w:val="0"/>
          <w:i w:val="0"/>
          <w:sz w:val="24"/>
        </w:rPr>
        <w:t>Deep learning-based image classifiers have shown promise for automating this detection task. Mobile phone-based microscopy systems, such as the CellScope platform, can capture standardized images suitable for automated analysis, opening the possibility of portable, low-cost diagnostic tools deployable at the point of care (Fletcher et al., 2014). Recent work has demonstrated high within-study classification accuracy using convolutional neural networks on these images (de Leon Derby et al., 2025). However, a critical and underexplored challenge is cross-study generalization: models trained on images from one study cohort must perform reliably when applied to images from a different site, time period, or operator without retraining.</w:t>
      </w:r>
    </w:p>
    <w:p>
      <w:pPr>
        <w:spacing w:before="0" w:after="160"/>
        <w:ind w:firstLine="432"/>
      </w:pPr>
      <w:r>
        <w:rPr>
          <w:rFonts w:ascii="Times New Roman" w:hAnsi="Times New Roman"/>
          <w:b w:val="0"/>
          <w:i w:val="0"/>
          <w:sz w:val="24"/>
        </w:rPr>
        <w:t>Cross-study transfer failure is particularly dangerous in medical AI because it is invisible in single-cohort evaluations. A model that performs well on its training distribution may appear production-ready when evaluated within that distribution, yet fail catastrophically when deployed on new data. Identifying the specific cause of such failures — rather than simply observing that generalization is poor — is necessary to produce principled fixes rather than dataset-specific workarounds.</w:t>
      </w:r>
    </w:p>
    <w:p>
      <w:pPr>
        <w:spacing w:before="0" w:after="160"/>
        <w:ind w:firstLine="432"/>
      </w:pPr>
      <w:r>
        <w:rPr>
          <w:rFonts w:ascii="Times New Roman" w:hAnsi="Times New Roman"/>
          <w:b w:val="0"/>
          <w:i w:val="0"/>
          <w:sz w:val="24"/>
        </w:rPr>
        <w:t>In this work, we report a systematic investigation of cross-study transfer failure in a paired brightfield (BF) and darkfield (DF) microscopy classification pipeline for S. haematobium detection. We identify and systematically characterize a root cause: the physical destruction of egg-scale visual information when high-resolution microscopy images are downsampled to standard deep learning input sizes (Figure 1). Through ablation experiments, we show that this failure cannot be corrected by normalization or augmentation strategies, and that preserving egg scale via image tiling completely resolves it (Figure 2). We further introduce a conditional dual-modality routing system that uses BF prediction confidence to gate DF inference, enabling a deployable compute-accuracy tradeoff curve for field settings where DF hardware may be intermittently unavailable (Figure 3).</w:t>
      </w:r>
    </w:p>
    <w:p>
      <w:pPr>
        <w:spacing w:before="0" w:after="160"/>
        <w:ind w:firstLine="432"/>
      </w:pPr>
      <w:r>
        <w:rPr>
          <w:rFonts w:ascii="Times New Roman" w:hAnsi="Times New Roman"/>
          <w:b w:val="0"/>
          <w:i w:val="0"/>
          <w:sz w:val="24"/>
        </w:rPr>
        <w:t>Our contributions are: (1) the first systematic diagnosis of egg-scale destruction as a cause of cross-study transfer failure in schistosomiasis AI, (2) empirical demonstration that tiling resolves this failure with a 27.7 percentage point improvement in zero-shot cross-study AUC, and (3) a conditional routing framework that provides a principled tradeoff between DF compute cost and diagnostic accuracy.</w:t>
      </w:r>
    </w:p>
    <w:p>
      <w:pPr>
        <w:spacing w:before="240" w:after="120"/>
      </w:pPr>
      <w:r>
        <w:rPr>
          <w:rFonts w:ascii="Times New Roman" w:hAnsi="Times New Roman"/>
          <w:b/>
          <w:i w:val="0"/>
          <w:sz w:val="26"/>
        </w:rPr>
        <w:t>2. Methods</w:t>
      </w:r>
    </w:p>
    <w:p>
      <w:pPr>
        <w:spacing w:before="160" w:after="80"/>
      </w:pPr>
      <w:r>
        <w:rPr>
          <w:rFonts w:ascii="Times New Roman" w:hAnsi="Times New Roman"/>
          <w:b/>
          <w:i w:val="0"/>
          <w:sz w:val="24"/>
        </w:rPr>
        <w:t>2.1  Dataset</w:t>
      </w:r>
    </w:p>
    <w:p>
      <w:pPr>
        <w:spacing w:before="0" w:after="160"/>
        <w:ind w:firstLine="432"/>
      </w:pPr>
      <w:r>
        <w:rPr>
          <w:rFonts w:ascii="Times New Roman" w:hAnsi="Times New Roman"/>
          <w:b w:val="0"/>
          <w:i w:val="0"/>
          <w:sz w:val="24"/>
        </w:rPr>
        <w:t>We analyzed paired brightfield (BF) and darkfield (DF) urine filtration microscopy images from two independent study cohorts captured on a mobile phone-based microscopy platform. The first cohort (nov2021) comprised 380 patients imaged in November 2021; the second cohort (mar2020) comprised 348 patients imaged in March 2020. All images were captured at 4032×3024 pixel resolution. Each study included one BF and one DF image per patient per imaging session (1,140 BF and 1,140 DF images for nov2021; 1,044 BF and 1,044 DF images for mar2020).</w:t>
      </w:r>
    </w:p>
    <w:p>
      <w:pPr>
        <w:spacing w:before="0" w:after="160"/>
        <w:ind w:firstLine="432"/>
      </w:pPr>
      <w:r>
        <w:rPr>
          <w:rFonts w:ascii="Times New Roman" w:hAnsi="Times New Roman"/>
          <w:b w:val="0"/>
          <w:i w:val="0"/>
          <w:sz w:val="24"/>
        </w:rPr>
        <w:t>Annotations of confirmed S. haematobium eggs were provided by trained microscopists, with egg center coordinates recorded in pixel space. Patient-level ground truth labels (positive/negative for S. haematobium infection) were determined by clinical assessment. The dataset was split by patient into training (nov2021: 304 patients, 49 positive), validation (nov2021: 76 patients, 12 positive), and zero-shot test (mar2020: 348 patients, 90 positive) sets. No mar2020 data were used at any stage of model training or hyperparameter selection.</w:t>
      </w:r>
    </w:p>
    <w:p>
      <w:pPr>
        <w:spacing w:before="160" w:after="80"/>
      </w:pPr>
      <w:r>
        <w:rPr>
          <w:rFonts w:ascii="Times New Roman" w:hAnsi="Times New Roman"/>
          <w:b/>
          <w:i w:val="0"/>
          <w:sz w:val="24"/>
        </w:rPr>
        <w:t>2.2  Baseline Pipeline and Root Cause Identification</w:t>
      </w:r>
    </w:p>
    <w:p>
      <w:pPr>
        <w:spacing w:before="0" w:after="160"/>
        <w:ind w:firstLine="432"/>
      </w:pPr>
      <w:r>
        <w:rPr>
          <w:rFonts w:ascii="Times New Roman" w:hAnsi="Times New Roman"/>
          <w:b w:val="0"/>
          <w:i w:val="0"/>
          <w:sz w:val="24"/>
        </w:rPr>
        <w:t>As an initial baseline, we trained MobileNetV2 (Sandler et al., 2018) with ImageNet pre-initialization (IMAGENET1K_V1) on the full-image binary classification task. Each 4032×3024 image was center-cropped and resized to 224×224 pixels — the standard input size for MobileNetV2. The final classifier was replaced with a two-layer head [Dropout(0.2), Linear(1280, 1)]. Training used AdamW (lr = 3×10⁻⁴, weight decay = 1×10⁻⁴) with a cosine annealing schedule (T_max = 15 epochs, η_min = 3×10⁻⁶) and batch size 32. EfficientNet-B0 (Tan &amp; Le, 2019) was trained under identical conditions as an independent baseline.</w:t>
      </w:r>
    </w:p>
    <w:p>
      <w:pPr>
        <w:spacing w:before="0" w:after="160"/>
        <w:ind w:firstLine="432"/>
      </w:pPr>
      <w:r>
        <w:rPr>
          <w:rFonts w:ascii="Times New Roman" w:hAnsi="Times New Roman"/>
          <w:b w:val="0"/>
          <w:i w:val="0"/>
          <w:sz w:val="24"/>
        </w:rPr>
        <w:t>To investigate the cross-study failure, we examined per-study image brightness distributions. nov2021 images exhibited a mean pixel intensity approximately 2× lower than mar2020 images. Within both studies, positive (egg-containing) images were systematically darker than negative images. This correlation suggested that the model had learned global brightness as a proxy for egg presence — a shortcut that would fail when brightness distributions differ across studies.</w:t>
      </w:r>
    </w:p>
    <w:p>
      <w:pPr>
        <w:spacing w:before="0" w:after="160"/>
        <w:ind w:firstLine="432"/>
      </w:pPr>
      <w:r>
        <w:rPr>
          <w:rFonts w:ascii="Times New Roman" w:hAnsi="Times New Roman"/>
          <w:b w:val="0"/>
          <w:i w:val="0"/>
          <w:sz w:val="24"/>
        </w:rPr>
        <w:t>We identified the mechanism enabling this shortcut: at 224×224 input resolution, S. haematobium eggs — which measure approximately 100–200 pixels in diameter at full resolution — are reduced to approximately 1–2 pixels (Figure 1, panel B). At this scale, egg morphology is not detectable by convolutional filters, leaving the model with no valid morphological signal. Three preprocessing ablations were evaluated to test whether normalization alone could correct the failure: (a) per-image z-score intensity normalization, (b) brightness augmentation (random multiplicative factor 0.4–2.5×), and (c) center crop (75% of image area) followed by per-image normalization.</w:t>
      </w:r>
    </w:p>
    <w:p>
      <w:pPr>
        <w:spacing w:before="200" w:after="40"/>
        <w:jc w:val="center"/>
      </w:pPr>
      <w:r>
        <w:drawing>
          <wp:inline xmlns:a="http://schemas.openxmlformats.org/drawingml/2006/main" xmlns:pic="http://schemas.openxmlformats.org/drawingml/2006/picture">
            <wp:extent cx="5303520" cy="2052446"/>
            <wp:docPr id="1" name="Picture 1"/>
            <wp:cNvGraphicFramePr>
              <a:graphicFrameLocks noChangeAspect="1"/>
            </wp:cNvGraphicFramePr>
            <a:graphic>
              <a:graphicData uri="http://schemas.openxmlformats.org/drawingml/2006/picture">
                <pic:pic>
                  <pic:nvPicPr>
                    <pic:cNvPr id="0" name="fig1_scale_destruction.png"/>
                    <pic:cNvPicPr/>
                  </pic:nvPicPr>
                  <pic:blipFill>
                    <a:blip r:embed="rId9"/>
                    <a:stretch>
                      <a:fillRect/>
                    </a:stretch>
                  </pic:blipFill>
                  <pic:spPr>
                    <a:xfrm>
                      <a:off x="0" y="0"/>
                      <a:ext cx="5303520" cy="2052446"/>
                    </a:xfrm>
                    <a:prstGeom prst="rect"/>
                  </pic:spPr>
                </pic:pic>
              </a:graphicData>
            </a:graphic>
          </wp:inline>
        </w:drawing>
      </w:r>
    </w:p>
    <w:p>
      <w:pPr>
        <w:spacing w:before="40" w:after="280"/>
        <w:jc w:val="center"/>
      </w:pPr>
      <w:r>
        <w:rPr>
          <w:rFonts w:ascii="Times New Roman" w:hAnsi="Times New Roman"/>
          <w:b/>
          <w:i w:val="0"/>
          <w:sz w:val="20"/>
        </w:rPr>
        <w:t xml:space="preserve">Figure 1.  </w:t>
      </w:r>
      <w:r>
        <w:rPr>
          <w:rFonts w:ascii="Times New Roman" w:hAnsi="Times New Roman"/>
          <w:b w:val="0"/>
          <w:i/>
          <w:sz w:val="20"/>
        </w:rPr>
        <w:t>Egg-scale destruction under full-image downsampling. Panel A: a 640×640 pixel crop from a full-resolution brightfield image (4032×3024 px) showing a confirmed S. haematobium egg (~110 px diameter; red circle marks the annotated egg center). Panel B: the complete image after downsampling to 224×224 — the egg is compressed to approximately 2 pixels, making morphological detection impossible. Panel C: the same tile region (640×640 px) resized to 224×224 as processed by the tiled pipeline — the egg is preserved at ~28 pixels, within the receptive field of MobileNetV2's convolutional filters. Images contrast-stretched for display.</w:t>
      </w:r>
    </w:p>
    <w:p>
      <w:pPr>
        <w:spacing w:before="160" w:after="80"/>
      </w:pPr>
      <w:r>
        <w:rPr>
          <w:rFonts w:ascii="Times New Roman" w:hAnsi="Times New Roman"/>
          <w:b/>
          <w:i w:val="0"/>
          <w:sz w:val="24"/>
        </w:rPr>
        <w:t>2.3  Tiled Classification</w:t>
      </w:r>
    </w:p>
    <w:p>
      <w:pPr>
        <w:spacing w:before="0" w:after="160"/>
        <w:ind w:firstLine="432"/>
      </w:pPr>
      <w:r>
        <w:rPr>
          <w:rFonts w:ascii="Times New Roman" w:hAnsi="Times New Roman"/>
          <w:b w:val="0"/>
          <w:i w:val="0"/>
          <w:sz w:val="24"/>
        </w:rPr>
        <w:t>To preserve egg-scale information, we replaced the full-image downsampling step with a tiling scheme. Each 4032×3024 image was divided into a 6×5 grid of non-overlapping 640×640 pixel tiles, yielding 30 tiles per image. Tile column starts were [0, 678, 1356, 2035, 2713, 3392] and row starts were [0, 596, 1192, 1788, 2384] pixels, uniformly spaced to cover the full image extent. This tiling approach follows de Leon Derby et al. (2025), who use overlapping 640×640 tiles with YOLOv8 detection; our adaptation uses non-overlapping tiles with image-level classification labels.</w:t>
      </w:r>
    </w:p>
    <w:p>
      <w:pPr>
        <w:spacing w:before="0" w:after="160"/>
        <w:ind w:firstLine="432"/>
      </w:pPr>
      <w:r>
        <w:rPr>
          <w:rFonts w:ascii="Times New Roman" w:hAnsi="Times New Roman"/>
          <w:b w:val="0"/>
          <w:i w:val="0"/>
          <w:sz w:val="24"/>
        </w:rPr>
        <w:t>Each tile was labeled as positive if any confirmed S. haematobium egg annotation center fell within the tile's pixel bounds. Tiles were resized to 224×224 for model input; at this resolution, eggs measure approximately 17–35 pixels in diameter — within the receptive field of MobileNetV2's convolutional layers. The nov2021 BF training set produced 27,360 tiles, of which 374 (1.4%) were positive. The mar2020 test set produced 31,320 tiles. Class imbalance was addressed using a positive-class weight of √(N_neg / N_pos) ≈ 8.5 in the binary cross-entropy loss, and the final linear layer bias was initialized to log(p / (1 − p)) where p is the empirical positive rate.</w:t>
      </w:r>
    </w:p>
    <w:p>
      <w:pPr>
        <w:spacing w:before="0" w:after="160"/>
        <w:ind w:firstLine="432"/>
      </w:pPr>
      <w:r>
        <w:rPr>
          <w:rFonts w:ascii="Times New Roman" w:hAnsi="Times New Roman"/>
          <w:b w:val="0"/>
          <w:i w:val="0"/>
          <w:sz w:val="24"/>
        </w:rPr>
        <w:t>At inference, patient-level scores were obtained by taking the maximum tile probability across all 30 tiles for a given patient. This max aggregation is equivalent to treating the patient as positive if any tile is classified as positive, matching the clinical definition of infection.</w:t>
      </w:r>
    </w:p>
    <w:p>
      <w:pPr>
        <w:spacing w:before="160" w:after="80"/>
      </w:pPr>
      <w:r>
        <w:rPr>
          <w:rFonts w:ascii="Times New Roman" w:hAnsi="Times New Roman"/>
          <w:b/>
          <w:i w:val="0"/>
          <w:sz w:val="24"/>
        </w:rPr>
        <w:t>2.4  Model Architecture and Training</w:t>
      </w:r>
    </w:p>
    <w:p>
      <w:pPr>
        <w:spacing w:before="0" w:after="160"/>
        <w:ind w:firstLine="432"/>
      </w:pPr>
      <w:r>
        <w:rPr>
          <w:rFonts w:ascii="Times New Roman" w:hAnsi="Times New Roman"/>
          <w:b w:val="0"/>
          <w:i w:val="0"/>
          <w:sz w:val="24"/>
        </w:rPr>
        <w:t>All tiled experiments used MobileNetV2 with ImageNet pre-initialization. The classifier head was replaced identically to the baseline. Training used AdamW (lr = 3×10⁻⁴, weight decay = 1×10⁻⁴, 15 epochs, cosine annealing, batch size 32). The model checkpoint with the highest patient-level validation AUC across all epochs was saved and used for evaluation.</w:t>
      </w:r>
    </w:p>
    <w:p>
      <w:pPr>
        <w:spacing w:before="0" w:after="160"/>
        <w:ind w:firstLine="432"/>
      </w:pPr>
      <w:r>
        <w:rPr>
          <w:rFonts w:ascii="Times New Roman" w:hAnsi="Times New Roman"/>
          <w:b w:val="0"/>
          <w:i w:val="0"/>
          <w:sz w:val="24"/>
        </w:rPr>
        <w:t>Data augmentation during tile training included: random horizontal flip, random vertical flip, random rotation (±15°), color jitter (brightness ±30%, contrast ±30%, saturation ±20%, hue ±5%), and normalization to ImageNet channel statistics (mean=[0.485, 0.456, 0.406], std=[0.229, 0.224, 0.225]). Validation and test tiles were transformed with center crop and normalization only. Separate tiled models were trained for BF and DF contrasts using the same procedure.</w:t>
      </w:r>
    </w:p>
    <w:p>
      <w:pPr>
        <w:spacing w:before="160" w:after="80"/>
      </w:pPr>
      <w:r>
        <w:rPr>
          <w:rFonts w:ascii="Times New Roman" w:hAnsi="Times New Roman"/>
          <w:b/>
          <w:i w:val="0"/>
          <w:sz w:val="24"/>
        </w:rPr>
        <w:t>2.5  Conditional Dual-Modality Routing</w:t>
      </w:r>
    </w:p>
    <w:p>
      <w:pPr>
        <w:spacing w:before="0" w:after="160"/>
        <w:ind w:firstLine="432"/>
      </w:pPr>
      <w:r>
        <w:rPr>
          <w:rFonts w:ascii="Times New Roman" w:hAnsi="Times New Roman"/>
          <w:b w:val="0"/>
          <w:i w:val="0"/>
          <w:sz w:val="24"/>
        </w:rPr>
        <w:t>Darkfield microscopy provides complementary egg-contrast information not available in brightfield, but requires additional hardware that may not be universally available at field sites. We developed a conditional routing framework to selectively invoke DF inference for cases where BF alone is uncertain.</w:t>
      </w:r>
    </w:p>
    <w:p>
      <w:pPr>
        <w:spacing w:before="0" w:after="160"/>
        <w:ind w:firstLine="432"/>
      </w:pPr>
      <w:r>
        <w:rPr>
          <w:rFonts w:ascii="Times New Roman" w:hAnsi="Times New Roman"/>
          <w:b w:val="0"/>
          <w:i w:val="0"/>
          <w:sz w:val="24"/>
        </w:rPr>
        <w:t>For each patient, a BF confidence score was defined as conf_BF = max_tiles(|score_BF − 0.5|), where score_BF is the MobileNetV2 sigmoid output for each tile and the max is taken over all 30 tiles. A threshold θ was swept from 0 to 0.5 in 101 steps. Patients with conf_BF ≥ θ retained their BF-only score; patients with conf_BF &lt; θ received a fused score of (score_BF_max + score_DF_max) / 2. At each threshold we recorded patient-level AUC and the fraction of patients requiring DF inference, producing the tradeoff curve shown in Figure 3.</w:t>
      </w:r>
    </w:p>
    <w:p>
      <w:pPr>
        <w:spacing w:before="160" w:after="80"/>
      </w:pPr>
      <w:r>
        <w:rPr>
          <w:rFonts w:ascii="Times New Roman" w:hAnsi="Times New Roman"/>
          <w:b/>
          <w:i w:val="0"/>
          <w:sz w:val="24"/>
        </w:rPr>
        <w:t>2.6  Evaluation</w:t>
      </w:r>
    </w:p>
    <w:p>
      <w:pPr>
        <w:spacing w:before="0" w:after="160"/>
        <w:ind w:firstLine="432"/>
      </w:pPr>
      <w:r>
        <w:rPr>
          <w:rFonts w:ascii="Times New Roman" w:hAnsi="Times New Roman"/>
          <w:b w:val="0"/>
          <w:i w:val="0"/>
          <w:sz w:val="24"/>
        </w:rPr>
        <w:t>Patient-level AUC was computed using the Wilcoxon-Mann-Whitney estimator. Bootstrap 95% confidence intervals were computed with 2,000 stratified resamples (2.5th and 97.5th percentiles). All mar2020 evaluations were zero-shot: no mar2020 data were used during training, validation, or hyperparameter selection.</w:t>
      </w:r>
    </w:p>
    <w:p>
      <w:pPr>
        <w:spacing w:before="240" w:after="120"/>
      </w:pPr>
      <w:r>
        <w:rPr>
          <w:rFonts w:ascii="Times New Roman" w:hAnsi="Times New Roman"/>
          <w:b/>
          <w:i w:val="0"/>
          <w:sz w:val="26"/>
        </w:rPr>
        <w:t>3. Results</w:t>
      </w:r>
    </w:p>
    <w:p>
      <w:pPr>
        <w:spacing w:before="160" w:after="80"/>
      </w:pPr>
      <w:r>
        <w:rPr>
          <w:rFonts w:ascii="Times New Roman" w:hAnsi="Times New Roman"/>
          <w:b/>
          <w:i w:val="0"/>
          <w:sz w:val="24"/>
        </w:rPr>
        <w:t>3.1  Baseline Cross-Study Failure</w:t>
      </w:r>
    </w:p>
    <w:p>
      <w:pPr>
        <w:spacing w:before="0" w:after="160"/>
        <w:ind w:firstLine="432"/>
      </w:pPr>
      <w:r>
        <w:rPr>
          <w:rFonts w:ascii="Times New Roman" w:hAnsi="Times New Roman"/>
          <w:b w:val="0"/>
          <w:i w:val="0"/>
          <w:sz w:val="24"/>
        </w:rPr>
        <w:t>The full-image resize baseline (MobileNetV2, 4032×3024 → 224×224) achieved AUC 0.801 on the nov2021 validation set. On the mar2020 zero-shot test set, performance collapsed to AUC 0.592 (95% CI [0.525, 0.663]) — not significantly different from chance (AUC = 0.5). EfficientNet-B0 showed the same pattern (val AUC 0.677, test AUC 0.525 [0.460, 0.591]), indicating the failure is architecture-independent.</w:t>
      </w:r>
    </w:p>
    <w:p>
      <w:pPr>
        <w:spacing w:before="0" w:after="160"/>
        <w:ind w:firstLine="432"/>
      </w:pPr>
      <w:r>
        <w:rPr>
          <w:rFonts w:ascii="Times New Roman" w:hAnsi="Times New Roman"/>
          <w:b w:val="0"/>
          <w:i w:val="0"/>
          <w:sz w:val="24"/>
        </w:rPr>
        <w:t>Three preprocessing ablations were evaluated on MobileNetV2. Per-image z-score normalization (val AUC 0.703, test AUC 0.593 [0.519, 0.660]) and brightness augmentation 0.4–2.5× (val AUC 0.693, test AUC 0.528 [0.461, 0.597]) produced no meaningful improvement in cross-study AUC. All four baseline configurations fall within each other's confidence intervals on the test set (Table 1), confirming that brightness normalization and augmentation alone cannot correct the failure.</w:t>
      </w:r>
    </w:p>
    <w:p>
      <w:pPr>
        <w:spacing w:before="0" w:after="160"/>
        <w:ind w:firstLine="432"/>
      </w:pPr>
      <w:r>
        <w:rPr>
          <w:rFonts w:ascii="Times New Roman" w:hAnsi="Times New Roman"/>
          <w:b w:val="0"/>
          <w:i w:val="0"/>
          <w:sz w:val="24"/>
        </w:rPr>
        <w:t>Visual inspection confirmed the root cause: at 224×224 resolution, S. haematobium eggs are compressed to 1–2 pixel artifacts (Figure 1, panel B), indistinguishable from compression noise. No convolutional classifier can learn egg morphology at this scale.</w:t>
      </w:r>
    </w:p>
    <w:p>
      <w:pPr>
        <w:spacing w:before="160" w:after="80"/>
      </w:pPr>
      <w:r>
        <w:rPr>
          <w:rFonts w:ascii="Times New Roman" w:hAnsi="Times New Roman"/>
          <w:b w:val="0"/>
          <w:i w:val="0"/>
          <w:sz w:val="22"/>
        </w:rPr>
        <w:t>Table 1.  Baseline model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2"/>
              </w:rPr>
              <w:t>Model / Preprocessing</w:t>
            </w:r>
          </w:p>
        </w:tc>
        <w:tc>
          <w:tcPr>
            <w:tcW w:type="dxa" w:w="2160"/>
          </w:tcPr>
          <w:p>
            <w:pPr>
              <w:jc w:val="center"/>
            </w:pPr>
            <w:r>
              <w:rPr>
                <w:rFonts w:ascii="Times New Roman" w:hAnsi="Times New Roman"/>
                <w:b/>
                <w:i w:val="0"/>
                <w:sz w:val="22"/>
              </w:rPr>
              <w:t>nov2021 Val AUC</w:t>
            </w:r>
          </w:p>
        </w:tc>
        <w:tc>
          <w:tcPr>
            <w:tcW w:type="dxa" w:w="2160"/>
          </w:tcPr>
          <w:p>
            <w:pPr>
              <w:jc w:val="center"/>
            </w:pPr>
            <w:r>
              <w:rPr>
                <w:rFonts w:ascii="Times New Roman" w:hAnsi="Times New Roman"/>
                <w:b/>
                <w:i w:val="0"/>
                <w:sz w:val="22"/>
              </w:rPr>
              <w:t>mar2020 AUC</w:t>
            </w:r>
          </w:p>
        </w:tc>
        <w:tc>
          <w:tcPr>
            <w:tcW w:type="dxa" w:w="2160"/>
          </w:tcPr>
          <w:p>
            <w:pPr>
              <w:jc w:val="center"/>
            </w:pPr>
            <w:r>
              <w:rPr>
                <w:rFonts w:ascii="Times New Roman" w:hAnsi="Times New Roman"/>
                <w:b/>
                <w:i w:val="0"/>
                <w:sz w:val="22"/>
              </w:rPr>
              <w:t>95% CI</w:t>
            </w:r>
          </w:p>
        </w:tc>
      </w:tr>
      <w:tr>
        <w:tc>
          <w:tcPr>
            <w:tcW w:type="dxa" w:w="2160"/>
          </w:tcPr>
          <w:p>
            <w:r>
              <w:rPr>
                <w:rFonts w:ascii="Times New Roman" w:hAnsi="Times New Roman"/>
                <w:b w:val="0"/>
                <w:i w:val="0"/>
                <w:sz w:val="22"/>
              </w:rPr>
              <w:t>MobileNetV2, baseline resize</w:t>
            </w:r>
          </w:p>
        </w:tc>
        <w:tc>
          <w:tcPr>
            <w:tcW w:type="dxa" w:w="2160"/>
          </w:tcPr>
          <w:p>
            <w:pPr>
              <w:jc w:val="center"/>
            </w:pPr>
            <w:r>
              <w:rPr>
                <w:rFonts w:ascii="Times New Roman" w:hAnsi="Times New Roman"/>
                <w:b w:val="0"/>
                <w:i w:val="0"/>
                <w:sz w:val="22"/>
              </w:rPr>
              <w:t>0.801</w:t>
            </w:r>
          </w:p>
        </w:tc>
        <w:tc>
          <w:tcPr>
            <w:tcW w:type="dxa" w:w="2160"/>
          </w:tcPr>
          <w:p>
            <w:pPr>
              <w:jc w:val="center"/>
            </w:pPr>
            <w:r>
              <w:rPr>
                <w:rFonts w:ascii="Times New Roman" w:hAnsi="Times New Roman"/>
                <w:b w:val="0"/>
                <w:i w:val="0"/>
                <w:sz w:val="22"/>
              </w:rPr>
              <w:t>0.592</w:t>
            </w:r>
          </w:p>
        </w:tc>
        <w:tc>
          <w:tcPr>
            <w:tcW w:type="dxa" w:w="2160"/>
          </w:tcPr>
          <w:p>
            <w:pPr>
              <w:jc w:val="center"/>
            </w:pPr>
            <w:r>
              <w:rPr>
                <w:rFonts w:ascii="Times New Roman" w:hAnsi="Times New Roman"/>
                <w:b w:val="0"/>
                <w:i w:val="0"/>
                <w:sz w:val="22"/>
              </w:rPr>
              <w:t>[0.525, 0.663]</w:t>
            </w:r>
          </w:p>
        </w:tc>
      </w:tr>
      <w:tr>
        <w:tc>
          <w:tcPr>
            <w:tcW w:type="dxa" w:w="2160"/>
          </w:tcPr>
          <w:p>
            <w:r>
              <w:rPr>
                <w:rFonts w:ascii="Times New Roman" w:hAnsi="Times New Roman"/>
                <w:b w:val="0"/>
                <w:i w:val="0"/>
                <w:sz w:val="22"/>
              </w:rPr>
              <w:t>EfficientNet-B0, baseline resize</w:t>
            </w:r>
          </w:p>
        </w:tc>
        <w:tc>
          <w:tcPr>
            <w:tcW w:type="dxa" w:w="2160"/>
          </w:tcPr>
          <w:p>
            <w:pPr>
              <w:jc w:val="center"/>
            </w:pPr>
            <w:r>
              <w:rPr>
                <w:rFonts w:ascii="Times New Roman" w:hAnsi="Times New Roman"/>
                <w:b w:val="0"/>
                <w:i w:val="0"/>
                <w:sz w:val="22"/>
              </w:rPr>
              <w:t>0.677</w:t>
            </w:r>
          </w:p>
        </w:tc>
        <w:tc>
          <w:tcPr>
            <w:tcW w:type="dxa" w:w="2160"/>
          </w:tcPr>
          <w:p>
            <w:pPr>
              <w:jc w:val="center"/>
            </w:pPr>
            <w:r>
              <w:rPr>
                <w:rFonts w:ascii="Times New Roman" w:hAnsi="Times New Roman"/>
                <w:b w:val="0"/>
                <w:i w:val="0"/>
                <w:sz w:val="22"/>
              </w:rPr>
              <w:t>0.525</w:t>
            </w:r>
          </w:p>
        </w:tc>
        <w:tc>
          <w:tcPr>
            <w:tcW w:type="dxa" w:w="2160"/>
          </w:tcPr>
          <w:p>
            <w:pPr>
              <w:jc w:val="center"/>
            </w:pPr>
            <w:r>
              <w:rPr>
                <w:rFonts w:ascii="Times New Roman" w:hAnsi="Times New Roman"/>
                <w:b w:val="0"/>
                <w:i w:val="0"/>
                <w:sz w:val="22"/>
              </w:rPr>
              <w:t>[0.460, 0.591]</w:t>
            </w:r>
          </w:p>
        </w:tc>
      </w:tr>
      <w:tr>
        <w:tc>
          <w:tcPr>
            <w:tcW w:type="dxa" w:w="2160"/>
          </w:tcPr>
          <w:p>
            <w:r>
              <w:rPr>
                <w:rFonts w:ascii="Times New Roman" w:hAnsi="Times New Roman"/>
                <w:b w:val="0"/>
                <w:i w:val="0"/>
                <w:sz w:val="22"/>
              </w:rPr>
              <w:t>MobileNetV2, z-score normalization</w:t>
            </w:r>
          </w:p>
        </w:tc>
        <w:tc>
          <w:tcPr>
            <w:tcW w:type="dxa" w:w="2160"/>
          </w:tcPr>
          <w:p>
            <w:pPr>
              <w:jc w:val="center"/>
            </w:pPr>
            <w:r>
              <w:rPr>
                <w:rFonts w:ascii="Times New Roman" w:hAnsi="Times New Roman"/>
                <w:b w:val="0"/>
                <w:i w:val="0"/>
                <w:sz w:val="22"/>
              </w:rPr>
              <w:t>0.703</w:t>
            </w:r>
          </w:p>
        </w:tc>
        <w:tc>
          <w:tcPr>
            <w:tcW w:type="dxa" w:w="2160"/>
          </w:tcPr>
          <w:p>
            <w:pPr>
              <w:jc w:val="center"/>
            </w:pPr>
            <w:r>
              <w:rPr>
                <w:rFonts w:ascii="Times New Roman" w:hAnsi="Times New Roman"/>
                <w:b w:val="0"/>
                <w:i w:val="0"/>
                <w:sz w:val="22"/>
              </w:rPr>
              <w:t>0.593</w:t>
            </w:r>
          </w:p>
        </w:tc>
        <w:tc>
          <w:tcPr>
            <w:tcW w:type="dxa" w:w="2160"/>
          </w:tcPr>
          <w:p>
            <w:pPr>
              <w:jc w:val="center"/>
            </w:pPr>
            <w:r>
              <w:rPr>
                <w:rFonts w:ascii="Times New Roman" w:hAnsi="Times New Roman"/>
                <w:b w:val="0"/>
                <w:i w:val="0"/>
                <w:sz w:val="22"/>
              </w:rPr>
              <w:t>[0.519, 0.660]</w:t>
            </w:r>
          </w:p>
        </w:tc>
      </w:tr>
      <w:tr>
        <w:tc>
          <w:tcPr>
            <w:tcW w:type="dxa" w:w="2160"/>
          </w:tcPr>
          <w:p>
            <w:r>
              <w:rPr>
                <w:rFonts w:ascii="Times New Roman" w:hAnsi="Times New Roman"/>
                <w:b w:val="0"/>
                <w:i w:val="0"/>
                <w:sz w:val="22"/>
              </w:rPr>
              <w:t>MobileNetV2, brightness augment</w:t>
            </w:r>
          </w:p>
        </w:tc>
        <w:tc>
          <w:tcPr>
            <w:tcW w:type="dxa" w:w="2160"/>
          </w:tcPr>
          <w:p>
            <w:pPr>
              <w:jc w:val="center"/>
            </w:pPr>
            <w:r>
              <w:rPr>
                <w:rFonts w:ascii="Times New Roman" w:hAnsi="Times New Roman"/>
                <w:b w:val="0"/>
                <w:i w:val="0"/>
                <w:sz w:val="22"/>
              </w:rPr>
              <w:t>0.693</w:t>
            </w:r>
          </w:p>
        </w:tc>
        <w:tc>
          <w:tcPr>
            <w:tcW w:type="dxa" w:w="2160"/>
          </w:tcPr>
          <w:p>
            <w:pPr>
              <w:jc w:val="center"/>
            </w:pPr>
            <w:r>
              <w:rPr>
                <w:rFonts w:ascii="Times New Roman" w:hAnsi="Times New Roman"/>
                <w:b w:val="0"/>
                <w:i w:val="0"/>
                <w:sz w:val="22"/>
              </w:rPr>
              <w:t>0.528</w:t>
            </w:r>
          </w:p>
        </w:tc>
        <w:tc>
          <w:tcPr>
            <w:tcW w:type="dxa" w:w="2160"/>
          </w:tcPr>
          <w:p>
            <w:pPr>
              <w:jc w:val="center"/>
            </w:pPr>
            <w:r>
              <w:rPr>
                <w:rFonts w:ascii="Times New Roman" w:hAnsi="Times New Roman"/>
                <w:b w:val="0"/>
                <w:i w:val="0"/>
                <w:sz w:val="22"/>
              </w:rPr>
              <w:t>[0.461, 0.597]</w:t>
            </w:r>
          </w:p>
        </w:tc>
      </w:tr>
      <w:tr>
        <w:tc>
          <w:tcPr>
            <w:tcW w:type="dxa" w:w="2160"/>
          </w:tcPr>
          <w:p>
            <w:r>
              <w:rPr>
                <w:rFonts w:ascii="Times New Roman" w:hAnsi="Times New Roman"/>
                <w:b/>
                <w:i w:val="0"/>
                <w:sz w:val="22"/>
              </w:rPr>
              <w:t>MobileNetV2, tiled 640×640 (ours)</w:t>
            </w:r>
          </w:p>
        </w:tc>
        <w:tc>
          <w:tcPr>
            <w:tcW w:type="dxa" w:w="2160"/>
          </w:tcPr>
          <w:p>
            <w:pPr>
              <w:jc w:val="center"/>
            </w:pPr>
            <w:r>
              <w:rPr>
                <w:rFonts w:ascii="Times New Roman" w:hAnsi="Times New Roman"/>
                <w:b/>
                <w:i w:val="0"/>
                <w:sz w:val="22"/>
              </w:rPr>
              <w:t>0.960</w:t>
            </w:r>
          </w:p>
        </w:tc>
        <w:tc>
          <w:tcPr>
            <w:tcW w:type="dxa" w:w="2160"/>
          </w:tcPr>
          <w:p>
            <w:pPr>
              <w:jc w:val="center"/>
            </w:pPr>
            <w:r>
              <w:rPr>
                <w:rFonts w:ascii="Times New Roman" w:hAnsi="Times New Roman"/>
                <w:b/>
                <w:i w:val="0"/>
                <w:sz w:val="22"/>
              </w:rPr>
              <w:t>0.869</w:t>
            </w:r>
          </w:p>
        </w:tc>
        <w:tc>
          <w:tcPr>
            <w:tcW w:type="dxa" w:w="2160"/>
          </w:tcPr>
          <w:p>
            <w:pPr>
              <w:jc w:val="center"/>
            </w:pPr>
            <w:r>
              <w:rPr>
                <w:rFonts w:ascii="Times New Roman" w:hAnsi="Times New Roman"/>
                <w:b/>
                <w:i w:val="0"/>
                <w:sz w:val="22"/>
              </w:rPr>
              <w:t>[0.817, 0.918]</w:t>
            </w:r>
          </w:p>
        </w:tc>
      </w:tr>
    </w:tbl>
    <w:p/>
    <w:p>
      <w:pPr>
        <w:spacing w:before="160" w:after="80"/>
      </w:pPr>
      <w:r>
        <w:rPr>
          <w:rFonts w:ascii="Times New Roman" w:hAnsi="Times New Roman"/>
          <w:b/>
          <w:i w:val="0"/>
          <w:sz w:val="24"/>
        </w:rPr>
        <w:t>3.2  Tiling Resolves Cross-Study Transfer</w:t>
      </w:r>
    </w:p>
    <w:p>
      <w:pPr>
        <w:spacing w:before="0" w:after="160"/>
        <w:ind w:firstLine="432"/>
      </w:pPr>
      <w:r>
        <w:rPr>
          <w:rFonts w:ascii="Times New Roman" w:hAnsi="Times New Roman"/>
          <w:b w:val="0"/>
          <w:i w:val="0"/>
          <w:sz w:val="24"/>
        </w:rPr>
        <w:t>The tiled MobileNetV2 (640×640 tiles, 30 per image) trained on nov2021 BF images achieved nov2021 validation AUC 0.960 and mar2020 zero-shot AUC 0.869 [0.817, 0.918] (Table 1, bottom row; Figure 2). The 27.7 percentage point improvement over the full-image baseline (0.592 → 0.869) is reflected in non-overlapping 95% confidence intervals, confirming a statistically robust improvement. The simultaneous improvement in within-study AUC (0.801 → 0.960) confirms that eggs at a learnable scale provide stronger classification signal than the image-level brightness shortcut available to the baseline.</w:t>
      </w:r>
    </w:p>
    <w:p>
      <w:pPr>
        <w:spacing w:before="0" w:after="160"/>
        <w:ind w:firstLine="432"/>
      </w:pPr>
      <w:r>
        <w:rPr>
          <w:rFonts w:ascii="Times New Roman" w:hAnsi="Times New Roman"/>
          <w:b w:val="0"/>
          <w:i w:val="0"/>
          <w:sz w:val="24"/>
        </w:rPr>
        <w:t>The 374 positive training tiles (1.4% of 27,360) demonstrate that the positive signal is highly localized — most tiles in a positive patient's image contain no egg. The max-aggregation patient scoring correctly captures this structure: a patient is positive if and only if at least one tile is classified as positive, matching the clinical definition of infection.</w:t>
      </w:r>
    </w:p>
    <w:p>
      <w:pPr>
        <w:spacing w:before="200" w:after="40"/>
        <w:jc w:val="center"/>
      </w:pPr>
      <w:r>
        <w:drawing>
          <wp:inline xmlns:a="http://schemas.openxmlformats.org/drawingml/2006/main" xmlns:pic="http://schemas.openxmlformats.org/drawingml/2006/picture">
            <wp:extent cx="4754880" cy="3496345"/>
            <wp:docPr id="2" name="Picture 2"/>
            <wp:cNvGraphicFramePr>
              <a:graphicFrameLocks noChangeAspect="1"/>
            </wp:cNvGraphicFramePr>
            <a:graphic>
              <a:graphicData uri="http://schemas.openxmlformats.org/drawingml/2006/picture">
                <pic:pic>
                  <pic:nvPicPr>
                    <pic:cNvPr id="0" name="tiled_vs_baseline.png"/>
                    <pic:cNvPicPr/>
                  </pic:nvPicPr>
                  <pic:blipFill>
                    <a:blip r:embed="rId10"/>
                    <a:stretch>
                      <a:fillRect/>
                    </a:stretch>
                  </pic:blipFill>
                  <pic:spPr>
                    <a:xfrm>
                      <a:off x="0" y="0"/>
                      <a:ext cx="4754880" cy="3496345"/>
                    </a:xfrm>
                    <a:prstGeom prst="rect"/>
                  </pic:spPr>
                </pic:pic>
              </a:graphicData>
            </a:graphic>
          </wp:inline>
        </w:drawing>
      </w:r>
    </w:p>
    <w:p>
      <w:pPr>
        <w:spacing w:before="40" w:after="280"/>
        <w:jc w:val="center"/>
      </w:pPr>
      <w:r>
        <w:rPr>
          <w:rFonts w:ascii="Times New Roman" w:hAnsi="Times New Roman"/>
          <w:b/>
          <w:i w:val="0"/>
          <w:sz w:val="20"/>
        </w:rPr>
        <w:t xml:space="preserve">Figure 2.  </w:t>
      </w:r>
      <w:r>
        <w:rPr>
          <w:rFonts w:ascii="Times New Roman" w:hAnsi="Times New Roman"/>
          <w:b w:val="0"/>
          <w:i/>
          <w:sz w:val="20"/>
        </w:rPr>
        <w:t>Cross-study transfer performance: tiled pipeline vs. full-image baseline. Patient-level AUC on the nov2021 validation set (left) and mar2020 zero-shot test set (right) for the full-image resize baseline (MobileNetV2, gray dashed) and the tiled pipeline (MobileNetV2, 640×640 tiles, green). Error bars show 95% bootstrap confidence intervals on the mar2020 test set. Tiling improves zero-shot cross-study AUC from 0.592 to 0.869 (+27.7 pp); confidence intervals are non-overlapping.</w:t>
      </w:r>
    </w:p>
    <w:p>
      <w:pPr>
        <w:spacing w:before="160" w:after="80"/>
      </w:pPr>
      <w:r>
        <w:rPr>
          <w:rFonts w:ascii="Times New Roman" w:hAnsi="Times New Roman"/>
          <w:b/>
          <w:i w:val="0"/>
          <w:sz w:val="24"/>
        </w:rPr>
        <w:t>3.3  Conditional Routing Tradeoff</w:t>
      </w:r>
    </w:p>
    <w:p>
      <w:pPr>
        <w:spacing w:before="0" w:after="160"/>
        <w:ind w:firstLine="432"/>
      </w:pPr>
      <w:r>
        <w:rPr>
          <w:rFonts w:ascii="Times New Roman" w:hAnsi="Times New Roman"/>
          <w:b w:val="0"/>
          <w:i w:val="0"/>
          <w:sz w:val="24"/>
        </w:rPr>
        <w:t>Standalone tiled model performance on the mar2020 zero-shot test: BF-only AUC 0.869 [0.817, 0.918], DF-only AUC 0.874 [0.822, 0.922], always-fused (BF+DF average) AUC 0.892 [0.849, 0.930] (Table 2).</w:t>
      </w:r>
    </w:p>
    <w:p>
      <w:pPr>
        <w:spacing w:before="0" w:after="160"/>
        <w:ind w:firstLine="432"/>
      </w:pPr>
      <w:r>
        <w:rPr>
          <w:rFonts w:ascii="Times New Roman" w:hAnsi="Times New Roman"/>
          <w:b w:val="0"/>
          <w:i w:val="0"/>
          <w:sz w:val="24"/>
        </w:rPr>
        <w:t>The confidence-based routing sweep (Figure 3) shows AUC increasing monotonically as DF fraction increases from 0% (BF-only, AUC 0.869) to 100% (always-fused, AUC 0.892). At a threshold that engaged DF inference for 33% of patients, the routing system achieved AUC 0.879 — 1.0 percentage point above BF-only, recovering 48% of the BF-to-fused gap at one-third the DF compute cost. The absence of a sharp transition reflects the strength of the tiled BF model: when BF is already highly accurate, only a small subset of patients have genuinely ambiguous predictions that benefit from DF fusion.</w:t>
      </w:r>
    </w:p>
    <w:p>
      <w:pPr>
        <w:spacing w:before="160" w:after="80"/>
      </w:pPr>
      <w:r>
        <w:rPr>
          <w:rFonts w:ascii="Times New Roman" w:hAnsi="Times New Roman"/>
          <w:b w:val="0"/>
          <w:i w:val="0"/>
          <w:sz w:val="22"/>
        </w:rPr>
        <w:t>Table 2.  Conditional routing operating 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Configuration</w:t>
            </w:r>
          </w:p>
        </w:tc>
        <w:tc>
          <w:tcPr>
            <w:tcW w:type="dxa" w:w="2880"/>
          </w:tcPr>
          <w:p>
            <w:pPr>
              <w:jc w:val="center"/>
            </w:pPr>
            <w:r>
              <w:rPr>
                <w:rFonts w:ascii="Times New Roman" w:hAnsi="Times New Roman"/>
                <w:b/>
                <w:i w:val="0"/>
                <w:sz w:val="22"/>
              </w:rPr>
              <w:t>AUC (mar2020 zero-shot)</w:t>
            </w:r>
          </w:p>
        </w:tc>
        <w:tc>
          <w:tcPr>
            <w:tcW w:type="dxa" w:w="2880"/>
          </w:tcPr>
          <w:p>
            <w:pPr>
              <w:jc w:val="center"/>
            </w:pPr>
            <w:r>
              <w:rPr>
                <w:rFonts w:ascii="Times New Roman" w:hAnsi="Times New Roman"/>
                <w:b/>
                <w:i w:val="0"/>
                <w:sz w:val="22"/>
              </w:rPr>
              <w:t>DF Compute Utilized</w:t>
            </w:r>
          </w:p>
        </w:tc>
      </w:tr>
      <w:tr>
        <w:tc>
          <w:tcPr>
            <w:tcW w:type="dxa" w:w="2880"/>
          </w:tcPr>
          <w:p>
            <w:r>
              <w:rPr>
                <w:rFonts w:ascii="Times New Roman" w:hAnsi="Times New Roman"/>
                <w:b w:val="0"/>
                <w:i w:val="0"/>
                <w:sz w:val="22"/>
              </w:rPr>
              <w:t>BF-only</w:t>
            </w:r>
          </w:p>
        </w:tc>
        <w:tc>
          <w:tcPr>
            <w:tcW w:type="dxa" w:w="2880"/>
          </w:tcPr>
          <w:p>
            <w:pPr>
              <w:jc w:val="center"/>
            </w:pPr>
            <w:r>
              <w:rPr>
                <w:rFonts w:ascii="Times New Roman" w:hAnsi="Times New Roman"/>
                <w:b w:val="0"/>
                <w:i w:val="0"/>
                <w:sz w:val="22"/>
              </w:rPr>
              <w:t>0.869  [0.817, 0.918]</w:t>
            </w:r>
          </w:p>
        </w:tc>
        <w:tc>
          <w:tcPr>
            <w:tcW w:type="dxa" w:w="2880"/>
          </w:tcPr>
          <w:p>
            <w:pPr>
              <w:jc w:val="center"/>
            </w:pPr>
            <w:r>
              <w:rPr>
                <w:rFonts w:ascii="Times New Roman" w:hAnsi="Times New Roman"/>
                <w:b w:val="0"/>
                <w:i w:val="0"/>
                <w:sz w:val="22"/>
              </w:rPr>
              <w:t>0%</w:t>
            </w:r>
          </w:p>
        </w:tc>
      </w:tr>
      <w:tr>
        <w:tc>
          <w:tcPr>
            <w:tcW w:type="dxa" w:w="2880"/>
          </w:tcPr>
          <w:p>
            <w:r>
              <w:rPr>
                <w:rFonts w:ascii="Times New Roman" w:hAnsi="Times New Roman"/>
                <w:b w:val="0"/>
                <w:i w:val="0"/>
                <w:sz w:val="22"/>
              </w:rPr>
              <w:t>DF-only</w:t>
            </w:r>
          </w:p>
        </w:tc>
        <w:tc>
          <w:tcPr>
            <w:tcW w:type="dxa" w:w="2880"/>
          </w:tcPr>
          <w:p>
            <w:pPr>
              <w:jc w:val="center"/>
            </w:pPr>
            <w:r>
              <w:rPr>
                <w:rFonts w:ascii="Times New Roman" w:hAnsi="Times New Roman"/>
                <w:b w:val="0"/>
                <w:i w:val="0"/>
                <w:sz w:val="22"/>
              </w:rPr>
              <w:t>0.874  [0.822, 0.922]</w:t>
            </w:r>
          </w:p>
        </w:tc>
        <w:tc>
          <w:tcPr>
            <w:tcW w:type="dxa" w:w="2880"/>
          </w:tcPr>
          <w:p>
            <w:pPr>
              <w:jc w:val="center"/>
            </w:pPr>
            <w:r>
              <w:rPr>
                <w:rFonts w:ascii="Times New Roman" w:hAnsi="Times New Roman"/>
                <w:b w:val="0"/>
                <w:i w:val="0"/>
                <w:sz w:val="22"/>
              </w:rPr>
              <w:t>100%</w:t>
            </w:r>
          </w:p>
        </w:tc>
      </w:tr>
      <w:tr>
        <w:tc>
          <w:tcPr>
            <w:tcW w:type="dxa" w:w="2880"/>
          </w:tcPr>
          <w:p>
            <w:r>
              <w:rPr>
                <w:rFonts w:ascii="Times New Roman" w:hAnsi="Times New Roman"/>
                <w:b w:val="0"/>
                <w:i w:val="0"/>
                <w:sz w:val="22"/>
              </w:rPr>
              <w:t>Conditional (33% DF)</w:t>
            </w:r>
          </w:p>
        </w:tc>
        <w:tc>
          <w:tcPr>
            <w:tcW w:type="dxa" w:w="2880"/>
          </w:tcPr>
          <w:p>
            <w:pPr>
              <w:jc w:val="center"/>
            </w:pPr>
            <w:r>
              <w:rPr>
                <w:rFonts w:ascii="Times New Roman" w:hAnsi="Times New Roman"/>
                <w:b w:val="0"/>
                <w:i w:val="0"/>
                <w:sz w:val="22"/>
              </w:rPr>
              <w:t>0.879</w:t>
            </w:r>
          </w:p>
        </w:tc>
        <w:tc>
          <w:tcPr>
            <w:tcW w:type="dxa" w:w="2880"/>
          </w:tcPr>
          <w:p>
            <w:pPr>
              <w:jc w:val="center"/>
            </w:pPr>
            <w:r>
              <w:rPr>
                <w:rFonts w:ascii="Times New Roman" w:hAnsi="Times New Roman"/>
                <w:b w:val="0"/>
                <w:i w:val="0"/>
                <w:sz w:val="22"/>
              </w:rPr>
              <w:t>33%</w:t>
            </w:r>
          </w:p>
        </w:tc>
      </w:tr>
      <w:tr>
        <w:tc>
          <w:tcPr>
            <w:tcW w:type="dxa" w:w="2880"/>
          </w:tcPr>
          <w:p>
            <w:r>
              <w:rPr>
                <w:rFonts w:ascii="Times New Roman" w:hAnsi="Times New Roman"/>
                <w:b w:val="0"/>
                <w:i w:val="0"/>
                <w:sz w:val="22"/>
              </w:rPr>
              <w:t>Always-fused (BF + DF)</w:t>
            </w:r>
          </w:p>
        </w:tc>
        <w:tc>
          <w:tcPr>
            <w:tcW w:type="dxa" w:w="2880"/>
          </w:tcPr>
          <w:p>
            <w:pPr>
              <w:jc w:val="center"/>
            </w:pPr>
            <w:r>
              <w:rPr>
                <w:rFonts w:ascii="Times New Roman" w:hAnsi="Times New Roman"/>
                <w:b w:val="0"/>
                <w:i w:val="0"/>
                <w:sz w:val="22"/>
              </w:rPr>
              <w:t>0.892  [0.849, 0.930]</w:t>
            </w:r>
          </w:p>
        </w:tc>
        <w:tc>
          <w:tcPr>
            <w:tcW w:type="dxa" w:w="2880"/>
          </w:tcPr>
          <w:p>
            <w:pPr>
              <w:jc w:val="center"/>
            </w:pPr>
            <w:r>
              <w:rPr>
                <w:rFonts w:ascii="Times New Roman" w:hAnsi="Times New Roman"/>
                <w:b w:val="0"/>
                <w:i w:val="0"/>
                <w:sz w:val="22"/>
              </w:rPr>
              <w:t>100%</w:t>
            </w:r>
          </w:p>
        </w:tc>
      </w:tr>
    </w:tbl>
    <w:p/>
    <w:p>
      <w:pPr>
        <w:spacing w:before="200" w:after="40"/>
        <w:jc w:val="center"/>
      </w:pPr>
      <w:r>
        <w:drawing>
          <wp:inline xmlns:a="http://schemas.openxmlformats.org/drawingml/2006/main" xmlns:pic="http://schemas.openxmlformats.org/drawingml/2006/picture">
            <wp:extent cx="4754880" cy="3380482"/>
            <wp:docPr id="3" name="Picture 3"/>
            <wp:cNvGraphicFramePr>
              <a:graphicFrameLocks noChangeAspect="1"/>
            </wp:cNvGraphicFramePr>
            <a:graphic>
              <a:graphicData uri="http://schemas.openxmlformats.org/drawingml/2006/picture">
                <pic:pic>
                  <pic:nvPicPr>
                    <pic:cNvPr id="0" name="fig3_routing_tradeoff.png"/>
                    <pic:cNvPicPr/>
                  </pic:nvPicPr>
                  <pic:blipFill>
                    <a:blip r:embed="rId11"/>
                    <a:stretch>
                      <a:fillRect/>
                    </a:stretch>
                  </pic:blipFill>
                  <pic:spPr>
                    <a:xfrm>
                      <a:off x="0" y="0"/>
                      <a:ext cx="4754880" cy="3380482"/>
                    </a:xfrm>
                    <a:prstGeom prst="rect"/>
                  </pic:spPr>
                </pic:pic>
              </a:graphicData>
            </a:graphic>
          </wp:inline>
        </w:drawing>
      </w:r>
    </w:p>
    <w:p>
      <w:pPr>
        <w:spacing w:before="40" w:after="280"/>
        <w:jc w:val="center"/>
      </w:pPr>
      <w:r>
        <w:rPr>
          <w:rFonts w:ascii="Times New Roman" w:hAnsi="Times New Roman"/>
          <w:b/>
          <w:i w:val="0"/>
          <w:sz w:val="20"/>
        </w:rPr>
        <w:t xml:space="preserve">Figure 3.  </w:t>
      </w:r>
      <w:r>
        <w:rPr>
          <w:rFonts w:ascii="Times New Roman" w:hAnsi="Times New Roman"/>
          <w:b w:val="0"/>
          <w:i/>
          <w:sz w:val="20"/>
        </w:rPr>
        <w:t>Conditional routing compute–accuracy tradeoff. Patient-level AUC on the mar2020 zero-shot test set as a function of the fraction of patients routed to darkfield (DF) inference. The blue dashed line marks the BF-only baseline (AUC = 0.869, 0% DF); the red dotted line marks the always-fused ceiling (AUC = 0.892, 100% DF). The orange marker shows the 33% DF operating point (AUC = 0.879), which recovers 48% of the BF-to-fused gap at one-third the DF compute cost.</w:t>
      </w:r>
    </w:p>
    <w:p>
      <w:pPr>
        <w:spacing w:before="240" w:after="120"/>
      </w:pPr>
      <w:r>
        <w:rPr>
          <w:rFonts w:ascii="Times New Roman" w:hAnsi="Times New Roman"/>
          <w:b/>
          <w:i w:val="0"/>
          <w:sz w:val="26"/>
        </w:rPr>
        <w:t>4. Discussion</w:t>
      </w:r>
    </w:p>
    <w:p>
      <w:pPr>
        <w:spacing w:before="0" w:after="160"/>
        <w:ind w:firstLine="432"/>
      </w:pPr>
      <w:r>
        <w:rPr>
          <w:rFonts w:ascii="Times New Roman" w:hAnsi="Times New Roman"/>
          <w:b w:val="0"/>
          <w:i w:val="0"/>
          <w:sz w:val="24"/>
        </w:rPr>
        <w:t>The central finding of this work is that egg-scale preservation is a necessary condition for cross-study transfer in AI-assisted schistosomiasis microscopy. When the standard practice of resizing full microscopy images to 224×224 is applied to 4032×3024 images, the ratio of egg diameter to image width changes from approximately 1/30 to approximately 1/3,000 — a 100-fold reduction in relative scale. The eggs become sub-pixel artifacts (Figure 1), and the model has no alternative but to rely on whatever image-level features remain correlated with the training labels. In this dataset, global image brightness happened to satisfy that correlation within nov2021, but does not hold across studies, producing near-chance cross-study performance.</w:t>
      </w:r>
    </w:p>
    <w:p>
      <w:pPr>
        <w:spacing w:before="0" w:after="160"/>
        <w:ind w:firstLine="432"/>
      </w:pPr>
      <w:r>
        <w:rPr>
          <w:rFonts w:ascii="Times New Roman" w:hAnsi="Times New Roman"/>
          <w:b w:val="0"/>
          <w:i w:val="0"/>
          <w:sz w:val="24"/>
        </w:rPr>
        <w:t>Three preprocessing interventions — per-image normalization, brightness augmentation, and combined crop plus normalization — all failed to improve cross-study AUC above 0.593. This is a key null result: it demonstrates that the failure is not a normalization problem. The model cannot learn from eggs that are not visible, regardless of how the surrounding background is processed. The fix must operate at the resolution level, not the normalization level.</w:t>
      </w:r>
    </w:p>
    <w:p>
      <w:pPr>
        <w:spacing w:before="0" w:after="160"/>
        <w:ind w:firstLine="432"/>
      </w:pPr>
      <w:r>
        <w:rPr>
          <w:rFonts w:ascii="Times New Roman" w:hAnsi="Times New Roman"/>
          <w:b w:val="0"/>
          <w:i w:val="0"/>
          <w:sz w:val="24"/>
        </w:rPr>
        <w:t>Tiling at 640×640 pixels was chosen because this tile size places eggs at approximately 17–35 pixels after resize to 224×224 — a range within which MobileNetV2's smallest convolutional filters (3×3) can resolve egg-scale features. The 27.7 percentage point improvement in zero-shot AUC from this single change (Figure 2) provides strong evidence that egg-scale destruction is the primary cause of cross-study failure.</w:t>
      </w:r>
      <w:r>
        <w:rPr>
          <w:rFonts w:ascii="Times New Roman" w:hAnsi="Times New Roman"/>
          <w:sz w:val="24"/>
        </w:rPr>
        <w:t xml:space="preserve"> The 9-point drop from nov2021 validation AUC (0.960) to mar2020 test AUC (0.869) reflects genuine cross-study distribution shift — different imaging brightness, operator, and patient population — rather than model overfitting; within-study performance on nov2021 is not predictive of the absolute cross-study level, only of whether the model has learned a transferable signal.</w:t>
      </w:r>
    </w:p>
    <w:p>
      <w:pPr>
        <w:spacing w:before="0" w:after="160"/>
        <w:ind w:firstLine="432"/>
      </w:pPr>
      <w:r>
        <w:rPr>
          <w:rFonts w:ascii="Times New Roman" w:hAnsi="Times New Roman"/>
          <w:b w:val="0"/>
          <w:i w:val="0"/>
          <w:sz w:val="24"/>
        </w:rPr>
        <w:t>The conditional routing framework addresses a practical deployment constraint. Darkfield microscopy requires an illumination accessory not universally present at low-resource field sites. The routing tradeoff curve (Figure 3) allows a site to choose an operating point matching local resource constraints. The modest gain at 33% DF (+1.0pp, recovering 48% of the BF-to-fused gap) reflects the quality of the tiled BF model: in settings with lower-quality BF images or higher DF contrast, the routing benefit would be proportionally larger.</w:t>
      </w:r>
    </w:p>
    <w:p>
      <w:pPr>
        <w:spacing w:before="0" w:after="160"/>
        <w:ind w:firstLine="432"/>
      </w:pPr>
      <w:r>
        <w:rPr>
          <w:rFonts w:ascii="Times New Roman" w:hAnsi="Times New Roman"/>
          <w:b w:val="0"/>
          <w:i w:val="0"/>
          <w:sz w:val="24"/>
        </w:rPr>
        <w:t>Several limitations apply. This study uses two cohorts from a single imaging platform and geographic region; generalization to other mobile microscopy systems, staining protocols, or S. mansoni infections remains to be validated. The BF confidence metric (max tile |score − 0.5|) is a heuristic; learned confidence calibration may improve routing decisions. The DF training protocol used the same hyperparameters as BF without dedicated search.</w:t>
      </w:r>
    </w:p>
    <w:p>
      <w:pPr>
        <w:spacing w:before="0" w:after="160"/>
        <w:ind w:firstLine="432"/>
      </w:pPr>
      <w:r>
        <w:rPr>
          <w:rFonts w:ascii="Times New Roman" w:hAnsi="Times New Roman"/>
          <w:b w:val="0"/>
          <w:i w:val="0"/>
          <w:sz w:val="24"/>
        </w:rPr>
        <w:t>Future directions include: (1) validation on additional cross-study cohorts, including the MELBA dataset from de Leon Derby et al. (2025); (2) semi-supervised pre-training on unlabeled DF images to reduce annotated-data requirements; and (3) tile-level attention or multiple-instance learning architectures that could produce interpretable egg localization maps alongside patient-level predictions.</w:t>
      </w:r>
    </w:p>
    <w:p>
      <w:pPr>
        <w:spacing w:before="240" w:after="120"/>
      </w:pPr>
      <w:r>
        <w:rPr>
          <w:rFonts w:ascii="Times New Roman" w:hAnsi="Times New Roman"/>
          <w:b/>
          <w:i w:val="0"/>
          <w:sz w:val="26"/>
        </w:rPr>
        <w:t>5. Conclusion</w:t>
      </w:r>
    </w:p>
    <w:p>
      <w:pPr>
        <w:spacing w:before="0" w:after="160"/>
        <w:ind w:firstLine="432"/>
      </w:pPr>
      <w:r>
        <w:rPr>
          <w:rFonts w:ascii="Times New Roman" w:hAnsi="Times New Roman"/>
          <w:b w:val="0"/>
          <w:i w:val="0"/>
          <w:sz w:val="24"/>
        </w:rPr>
        <w:t>We demonstrate that cross-study transfer failure in a schistosomiasis AI classification pipeline is caused by the destruction of egg-scale visual information at standard deep learning input resolutions, not by illumination differences, label noise, or normalization strategy. Replacing full-image downsampling with 640×640 pixel tiling increases zero-shot cross-study AUC from 0.592 to 0.869 — a 27.7 percentage point improvement that brings performance into a clinically useful range. A conditional dual-modality routing system built on the tiled pipeline enables a tunable tradeoff between DF compute utilization and diagnostic accuracy, yielding 0.879 AUC at 33% DF cost. These results establish that egg-scale preservation is a prerequisite — not a refinement — for cross-study transfer in microscopy-based AI diagnostics, and provide a practical framework for field deployment under resource constraints.</w:t>
      </w:r>
    </w:p>
    <w:p>
      <w:pPr>
        <w:spacing w:before="240" w:after="120"/>
      </w:pPr>
      <w:r>
        <w:rPr>
          <w:rFonts w:ascii="Times New Roman" w:hAnsi="Times New Roman"/>
          <w:b/>
          <w:i w:val="0"/>
          <w:sz w:val="26"/>
        </w:rPr>
        <w:t>Code and Data Availability</w:t>
      </w:r>
    </w:p>
    <w:p>
      <w:pPr>
        <w:spacing w:before="0" w:after="160"/>
        <w:ind w:firstLine="432"/>
      </w:pPr>
      <w:r>
        <w:rPr>
          <w:rFonts w:ascii="Times New Roman" w:hAnsi="Times New Roman"/>
          <w:b w:val="0"/>
          <w:i w:val="0"/>
          <w:sz w:val="24"/>
        </w:rPr>
        <w:t>Code to reproduce all experiments is available at [your GitHub URL]. The dataset was provided by the research group of Dr. Catherine Delahunt; access is subject to their data sharing terms.</w:t>
      </w:r>
    </w:p>
    <w:p>
      <w:pPr>
        <w:spacing w:before="240" w:after="120"/>
      </w:pPr>
      <w:r>
        <w:rPr>
          <w:rFonts w:ascii="Times New Roman" w:hAnsi="Times New Roman"/>
          <w:b/>
          <w:i w:val="0"/>
          <w:sz w:val="26"/>
        </w:rPr>
        <w:t>Acknowledgments</w:t>
      </w:r>
    </w:p>
    <w:p>
      <w:pPr>
        <w:spacing w:before="0" w:after="160"/>
        <w:ind w:firstLine="432"/>
      </w:pPr>
      <w:r>
        <w:rPr>
          <w:rFonts w:ascii="Times New Roman" w:hAnsi="Times New Roman"/>
          <w:b w:val="0"/>
          <w:i w:val="0"/>
          <w:sz w:val="24"/>
        </w:rPr>
        <w:t>The author thanks Dr. Catherine Delahunt for feedback that prompted the systematic investigation of the cross-study failure reported in this work. The tiling approach follows the methodology of de Leon Derby et al. (2025) and is credited accordingly. [Additional acknowledgments to be added.]</w:t>
      </w:r>
    </w:p>
    <w:p>
      <w:pPr>
        <w:spacing w:before="240" w:after="120"/>
      </w:pPr>
      <w:r>
        <w:rPr>
          <w:rFonts w:ascii="Times New Roman" w:hAnsi="Times New Roman"/>
          <w:b/>
          <w:i w:val="0"/>
          <w:sz w:val="26"/>
        </w:rPr>
        <w:t>References</w:t>
      </w:r>
    </w:p>
    <w:p>
      <w:pPr>
        <w:spacing w:after="120"/>
        <w:ind w:left="576" w:hanging="576"/>
      </w:pPr>
      <w:r>
        <w:rPr>
          <w:rFonts w:ascii="Times New Roman" w:hAnsi="Times New Roman"/>
          <w:b w:val="0"/>
          <w:i w:val="0"/>
          <w:sz w:val="22"/>
        </w:rPr>
        <w:t>1.  de Leon Derby, M. D., Delahunt, C. H., et al. (2025). Automated detection of Schistosoma haematobium eggs in mobile phone microscopy using deep learning and tiling. PLOS Neglected Tropical Diseases. [DOI to be confirmed]</w:t>
      </w:r>
    </w:p>
    <w:p>
      <w:pPr>
        <w:spacing w:after="120"/>
        <w:ind w:left="576" w:hanging="576"/>
      </w:pPr>
      <w:r>
        <w:rPr>
          <w:rFonts w:ascii="Times New Roman" w:hAnsi="Times New Roman"/>
          <w:b w:val="0"/>
          <w:i w:val="0"/>
          <w:sz w:val="22"/>
        </w:rPr>
        <w:t>2.  Fletcher, D. A., et al. (2014). CellScope: mobile phone-based microscopy for global health applications. Lab on a Chip, 14(12), 1998–2001.</w:t>
      </w:r>
    </w:p>
    <w:p>
      <w:pPr>
        <w:spacing w:after="120"/>
        <w:ind w:left="576" w:hanging="576"/>
      </w:pPr>
      <w:r>
        <w:rPr>
          <w:rFonts w:ascii="Times New Roman" w:hAnsi="Times New Roman"/>
          <w:b w:val="0"/>
          <w:i w:val="0"/>
          <w:sz w:val="22"/>
        </w:rPr>
        <w:t>3.  Sandler, M., Howard, A., Zhu, M., Zhmoginov, A., &amp; Chen, L.-C. (2018). MobileNetV2: Inverted residuals and linear bottlenecks. CVPR, 4510–4520.</w:t>
      </w:r>
    </w:p>
    <w:p>
      <w:pPr>
        <w:spacing w:after="120"/>
        <w:ind w:left="576" w:hanging="576"/>
      </w:pPr>
      <w:r>
        <w:rPr>
          <w:rFonts w:ascii="Times New Roman" w:hAnsi="Times New Roman"/>
          <w:b w:val="0"/>
          <w:i w:val="0"/>
          <w:sz w:val="22"/>
        </w:rPr>
        <w:t>4.  Tan, M., &amp; Le, Q. V. (2019). EfficientNet: Rethinking model scaling for convolutional neural networks. ICML, 6105–6114.</w:t>
      </w:r>
    </w:p>
    <w:p>
      <w:pPr>
        <w:spacing w:after="120"/>
        <w:ind w:left="576" w:hanging="576"/>
      </w:pPr>
      <w:r>
        <w:rPr>
          <w:rFonts w:ascii="Times New Roman" w:hAnsi="Times New Roman"/>
          <w:b w:val="0"/>
          <w:i w:val="0"/>
          <w:sz w:val="22"/>
        </w:rPr>
        <w:t>5.  World Health Organization. (2023). Schistosomiasis. WHO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