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hesfqj5d8cb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f3tahh77p77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yoh1heiys2u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62"/>
          <w:szCs w:val="62"/>
        </w:rPr>
      </w:pPr>
      <w:bookmarkStart w:colFirst="0" w:colLast="0" w:name="_yzvb9a73nv44" w:id="3"/>
      <w:bookmarkEnd w:id="3"/>
      <w:r w:rsidDel="00000000" w:rsidR="00000000" w:rsidRPr="00000000">
        <w:rPr>
          <w:b w:val="1"/>
          <w:color w:val="000000"/>
          <w:sz w:val="62"/>
          <w:szCs w:val="62"/>
          <w:rtl w:val="0"/>
        </w:rPr>
        <w:t xml:space="preserve">  Test Case Execution Report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50"/>
          <w:szCs w:val="50"/>
        </w:rPr>
      </w:pPr>
      <w:bookmarkStart w:colFirst="0" w:colLast="0" w:name="_vm133ln1arm3" w:id="4"/>
      <w:bookmarkEnd w:id="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                      </w:t>
      </w: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50"/>
          <w:szCs w:val="50"/>
          <w:rtl w:val="0"/>
        </w:rPr>
        <w:t xml:space="preserve"> Quafox Project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dvv36v44ko5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1l0g1myuum7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k6y70aasnjj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kgh2c9otspv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ch5nrrr9k57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3w33uj4sicj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r8rzblryrb2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u64rmtmkcb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y59x68r15bt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ub5xg081zf9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edidzqrdean7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6royjuv4czn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gpe9sxcfj4j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ifm7szqmfre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mp570xdxliju" w:id="19"/>
      <w:bookmarkEnd w:id="19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Summary Report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tbl7g2h5qq1j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Test Summary report outlines the testing activities conducted for the Quafox  Web application in the period from </w:t>
      </w:r>
      <w:r w:rsidDel="00000000" w:rsidR="00000000" w:rsidRPr="00000000">
        <w:rPr>
          <w:b w:val="1"/>
          <w:sz w:val="26"/>
          <w:szCs w:val="26"/>
          <w:rtl w:val="0"/>
        </w:rPr>
        <w:t xml:space="preserve">12th November 2024 to 16th N 2024</w:t>
      </w:r>
      <w:r w:rsidDel="00000000" w:rsidR="00000000" w:rsidRPr="00000000">
        <w:rPr>
          <w:sz w:val="26"/>
          <w:szCs w:val="26"/>
          <w:rtl w:val="0"/>
        </w:rPr>
        <w:t xml:space="preserve">. The objective of this report is to present the following: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Status of Test Cases Executed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Defects found and their status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Suggestions for future testing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1kp11n8tcg1f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Cases Execution Status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status summarizes all test cases executed on the Quafox Web Application as follows:</w:t>
      </w:r>
    </w:p>
    <w:tbl>
      <w:tblPr>
        <w:tblStyle w:val="Table1"/>
        <w:tblW w:w="3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40"/>
        <w:gridCol w:w="890"/>
        <w:tblGridChange w:id="0">
          <w:tblGrid>
            <w:gridCol w:w="2840"/>
            <w:gridCol w:w="8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Total no of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Total passed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Total failed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Blocked/Skipped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5u6jncsi6t8e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Defects Status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table below lists the number of defects based on their priority:</w:t>
      </w:r>
    </w:p>
    <w:tbl>
      <w:tblPr>
        <w:tblStyle w:val="Table2"/>
        <w:tblW w:w="2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5"/>
        <w:gridCol w:w="890"/>
        <w:tblGridChange w:id="0">
          <w:tblGrid>
            <w:gridCol w:w="2075"/>
            <w:gridCol w:w="8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Defects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Total no. of defects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Blocker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Major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Minor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table below categorizes the defects based on their type:</w:t>
      </w:r>
    </w:p>
    <w:tbl>
      <w:tblPr>
        <w:tblStyle w:val="Table3"/>
        <w:tblW w:w="2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0"/>
        <w:gridCol w:w="890"/>
        <w:tblGridChange w:id="0">
          <w:tblGrid>
            <w:gridCol w:w="1460"/>
            <w:gridCol w:w="8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Defect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ot5innij2gcx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Suggestions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Improve Blocker issues:</w:t>
      </w:r>
      <w:r w:rsidDel="00000000" w:rsidR="00000000" w:rsidRPr="00000000">
        <w:rPr>
          <w:sz w:val="26"/>
          <w:szCs w:val="26"/>
          <w:rtl w:val="0"/>
        </w:rPr>
        <w:t xml:space="preserve"> Blocker issues disrupt the customer business workflow so blocker issues should be treated as highest priority and work on it.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Critical issues: </w:t>
      </w:r>
      <w:r w:rsidDel="00000000" w:rsidR="00000000" w:rsidRPr="00000000">
        <w:rPr>
          <w:sz w:val="26"/>
          <w:szCs w:val="26"/>
          <w:rtl w:val="0"/>
        </w:rPr>
        <w:t xml:space="preserve">These should be solved for ease of usability of application and efficiency.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UI/UX Enhancement:</w:t>
      </w:r>
      <w:r w:rsidDel="00000000" w:rsidR="00000000" w:rsidRPr="00000000">
        <w:rPr>
          <w:sz w:val="26"/>
          <w:szCs w:val="26"/>
          <w:rtl w:val="0"/>
        </w:rPr>
        <w:t xml:space="preserve"> Ensure all forms, including the “Newsletter" form, maintain responsive design across all devices.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