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8"/>
        </w:pBdr>
        <w:spacing w:after="60"/>
      </w:pPr>
      <w:r>
        <w:rPr>
          <w:b/>
          <w:bCs/>
          <w:color w:val="1F4E79"/>
          <w:sz w:val="34"/>
          <w:szCs w:val="34"/>
        </w:rPr>
        <w:t xml:space="preserve">Domain-Scoped Approvers for Dataset Access Requests</w:t>
      </w:r>
    </w:p>
    <w:p>
      <w:pPr>
        <w:spacing w:after="40" w:before="0"/>
      </w:pPr>
      <w:r>
        <w:rPr>
          <w:i/>
          <w:iCs/>
          <w:color w:val="595959"/>
          <w:sz w:val="22"/>
          <w:szCs w:val="22"/>
        </w:rPr>
        <w:t xml:space="preserve">DataHub Cloud — Action Workflows · trial instance</w:t>
      </w:r>
    </w:p>
    <w:p>
      <w:pPr>
        <w:spacing w:after="260" w:before="0"/>
      </w:pPr>
      <w:r>
        <w:rPr>
          <w:i/>
          <w:iCs/>
          <w:color w:val="595959"/>
          <w:sz w:val="22"/>
          <w:szCs w:val="22"/>
        </w:rPr>
        <w:t xml:space="preserve">Setup, rationale, and validated demo · 23 September 2026</w:t>
      </w:r>
    </w:p>
    <w:p>
      <w:pPr>
        <w:pStyle w:val="Heading1"/>
        <w:spacing w:after="140" w:before="280"/>
      </w:pPr>
      <w:r>
        <w:rPr>
          <w:b/>
          <w:bCs/>
          <w:color w:val="1F4E79"/>
        </w:rPr>
        <w:t xml:space="preserve">1. The requirement</w:t>
      </w:r>
    </w:p>
    <w:p>
      <w:pPr>
        <w:spacing w:after="120" w:before="0"/>
      </w:pPr>
      <w:r>
        <w:rPr>
          <w:sz w:val="22"/>
          <w:szCs w:val="22"/>
        </w:rPr>
        <w:t xml:space="preserve">Approvals and notifications must reach the approver responsible for the affected domain. Sending a request to every approver in the organisation does not meet the operating model.</w:t>
      </w:r>
    </w:p>
    <w:p>
      <w:pPr>
        <w:spacing w:after="120" w:before="0"/>
      </w:pPr>
      <w:r>
        <w:rPr>
          <w:sz w:val="22"/>
          <w:szCs w:val="22"/>
        </w:rPr>
        <w:t xml:space="preserve">The reported symptom: assigning an approver group such as Data Steward caused tasks to be assigned to all Data Stewards, rather than only those associated with the domain being modified.</w:t>
      </w:r>
    </w:p>
    <w:p>
      <w:pPr>
        <w:spacing w:after="120" w:before="0"/>
      </w:pPr>
      <w:r>
        <w:rPr>
          <w:sz w:val="22"/>
          <w:szCs w:val="22"/>
        </w:rPr>
        <w:t xml:space="preserve">Question asked: can the workflow dynamically identify the relevant domain and route approvals to the appropriate domain-specific approvers?</w:t>
      </w:r>
    </w:p>
    <w:p>
      <w:pPr>
        <w:spacing w:after="120" w:before="0"/>
      </w:pPr>
      <w:r>
        <w:rPr>
          <w:b/>
          <w:bCs/>
          <w:sz w:val="22"/>
          <w:szCs w:val="22"/>
        </w:rPr>
        <w:t xml:space="preserve">Answer: yes. The mechanism is built in, and it is now configured and verified on the Dataset Access Request workflow. This document records how, and how to demonstrate it.</w:t>
      </w:r>
    </w:p>
    <w:p>
      <w:pPr>
        <w:pStyle w:val="Heading1"/>
        <w:spacing w:after="140" w:before="280"/>
      </w:pPr>
      <w:r>
        <w:rPr>
          <w:b/>
          <w:bCs/>
          <w:color w:val="1F4E79"/>
        </w:rPr>
        <w:t xml:space="preserve">2. Why the original configuration routed organisation-wide</w:t>
      </w:r>
    </w:p>
    <w:p>
      <w:pPr>
        <w:spacing w:after="120" w:before="0"/>
      </w:pPr>
      <w:r>
        <w:rPr>
          <w:sz w:val="22"/>
          <w:szCs w:val="22"/>
        </w:rPr>
        <w:t xml:space="preserve">The shipped approval step combined two settings, each of which widened the audience independently:</w:t>
      </w:r>
    </w:p>
    <w:p>
      <w:pPr>
        <w:shd w:fill="F2F2F2" w:val="clear"/>
        <w:spacing w:after="0" w:before="60"/>
        <w:ind w:left="240"/>
      </w:pPr>
      <w:r>
        <w:rPr>
          <w:rFonts w:ascii="Consolas" w:cs="Consolas" w:eastAsia="Consolas" w:hAnsi="Consolas"/>
          <w:sz w:val="18"/>
          <w:szCs w:val="18"/>
        </w:rPr>
        <w:t xml:space="preserve">"users": [{ "urn": "urn:li:corpuser:data.steward" }],</w:t>
      </w:r>
    </w:p>
    <w:p>
      <w:pPr>
        <w:shd w:fill="F2F2F2" w:val="clear"/>
        <w:spacing w:after="0" w:before="0"/>
        <w:ind w:left="240"/>
      </w:pPr>
      <w:r>
        <w:rPr>
          <w:rFonts w:ascii="Consolas" w:cs="Consolas" w:eastAsia="Consolas" w:hAnsi="Consolas"/>
          <w:sz w:val="18"/>
          <w:szCs w:val="18"/>
        </w:rPr>
        <w:t xml:space="preserve">"dynamicAssignment": {</w:t>
      </w:r>
    </w:p>
    <w:p>
      <w:pPr>
        <w:shd w:fill="F2F2F2" w:val="clear"/>
        <w:spacing w:after="0" w:before="0"/>
        <w:ind w:left="240"/>
      </w:pPr>
      <w:r>
        <w:rPr>
          <w:rFonts w:ascii="Consolas" w:cs="Consolas" w:eastAsia="Consolas" w:hAnsi="Consolas"/>
          <w:sz w:val="18"/>
          <w:szCs w:val="18"/>
        </w:rPr>
        <w:t xml:space="preserve">    "type": "ENTITY_OWNERS",</w:t>
      </w:r>
    </w:p>
    <w:p>
      <w:pPr>
        <w:shd w:fill="F2F2F2" w:val="clear"/>
        <w:spacing w:after="0" w:before="0"/>
        <w:ind w:left="240"/>
      </w:pPr>
      <w:r>
        <w:rPr>
          <w:rFonts w:ascii="Consolas" w:cs="Consolas" w:eastAsia="Consolas" w:hAnsi="Consolas"/>
          <w:sz w:val="18"/>
          <w:szCs w:val="18"/>
        </w:rPr>
        <w:t xml:space="preserve">    "ownershipTypes": []</w:t>
      </w:r>
    </w:p>
    <w:p>
      <w:pPr>
        <w:shd w:fill="F2F2F2" w:val="clear"/>
        <w:spacing w:after="140" w:before="0"/>
        <w:ind w:left="240"/>
      </w:pPr>
      <w:r>
        <w:rPr>
          <w:rFonts w:ascii="Consolas" w:cs="Consolas" w:eastAsia="Consolas" w:hAnsi="Consolas"/>
          <w:sz w:val="18"/>
          <w:szCs w:val="18"/>
        </w:rPr>
        <w:t xml:space="preserve">}</w:t>
      </w:r>
    </w:p>
    <w:p>
      <w:pPr>
        <w:pStyle w:val="ListParagraph"/>
        <w:numPr>
          <w:ilvl w:val="0"/>
          <w:numId w:val="2"/>
        </w:numPr>
        <w:spacing w:after="80"/>
      </w:pPr>
      <w:r>
        <w:rPr>
          <w:sz w:val="22"/>
          <w:szCs w:val="22"/>
        </w:rPr>
        <w:t xml:space="preserve">A hardcoded user was attached to the step, so that person was assigned on every request regardless of domain.</w:t>
      </w:r>
    </w:p>
    <w:p>
      <w:pPr>
        <w:pStyle w:val="ListParagraph"/>
        <w:numPr>
          <w:ilvl w:val="0"/>
          <w:numId w:val="2"/>
        </w:numPr>
        <w:spacing w:after="80"/>
      </w:pPr>
      <w:r>
        <w:rPr>
          <w:sz w:val="22"/>
          <w:szCs w:val="22"/>
        </w:rPr>
        <w:t xml:space="preserve">ENTITY_OWNERS resolves the owners of the dataset itself, not the owners of its domain.</w:t>
      </w:r>
    </w:p>
    <w:p>
      <w:pPr>
        <w:pStyle w:val="ListParagraph"/>
        <w:numPr>
          <w:ilvl w:val="0"/>
          <w:numId w:val="2"/>
        </w:numPr>
        <w:spacing w:after="80"/>
      </w:pPr>
      <w:r>
        <w:rPr>
          <w:sz w:val="22"/>
          <w:szCs w:val="22"/>
        </w:rPr>
        <w:t xml:space="preserve">An empty ownershipTypes list matches every ownership type. This is the most likely source of the reported “assigned to all Data Stewards” behaviour.</w:t>
      </w:r>
    </w:p>
    <w:p>
      <w:pPr>
        <w:spacing w:after="120" w:before="0"/>
      </w:pPr>
      <w:r>
        <w:rPr>
          <w:sz w:val="22"/>
          <w:szCs w:val="22"/>
        </w:rPr>
        <w:t xml:space="preserve">This was confirmed against live data rather than inferred. All 23 Dataset Access Requests raised before the change were assigned to the same three people, on every dataset:</w:t>
      </w:r>
    </w:p>
    <w:p>
      <w:pPr>
        <w:shd w:fill="F2F2F2" w:val="clear"/>
        <w:spacing w:after="0" w:before="60"/>
        <w:ind w:left="240"/>
      </w:pPr>
      <w:r>
        <w:rPr>
          <w:rFonts w:ascii="Consolas" w:cs="Consolas" w:eastAsia="Consolas" w:hAnsi="Consolas"/>
          <w:sz w:val="18"/>
          <w:szCs w:val="18"/>
        </w:rPr>
        <w:t xml:space="preserve">users: ['urn:li:corpuser:data.steward',</w:t>
      </w:r>
    </w:p>
    <w:p>
      <w:pPr>
        <w:shd w:fill="F2F2F2" w:val="clear"/>
        <w:spacing w:after="0" w:before="0"/>
        <w:ind w:left="240"/>
      </w:pPr>
      <w:r>
        <w:rPr>
          <w:rFonts w:ascii="Consolas" w:cs="Consolas" w:eastAsia="Consolas" w:hAnsi="Consolas"/>
          <w:sz w:val="18"/>
          <w:szCs w:val="18"/>
        </w:rPr>
        <w:t xml:space="preserve">        'urn:li:corpuser:stephen.hwang@datahub.com',</w:t>
      </w:r>
    </w:p>
    <w:p>
      <w:pPr>
        <w:shd w:fill="F2F2F2" w:val="clear"/>
        <w:spacing w:after="140" w:before="0"/>
        <w:ind w:left="240"/>
      </w:pPr>
      <w:r>
        <w:rPr>
          <w:rFonts w:ascii="Consolas" w:cs="Consolas" w:eastAsia="Consolas" w:hAnsi="Consolas"/>
          <w:sz w:val="18"/>
          <w:szCs w:val="18"/>
        </w:rPr>
        <w:t xml:space="preserve">        'urn:li:corpuser:&lt;a second dataset owner&gt;']</w:t>
      </w:r>
    </w:p>
    <w:p>
      <w:pPr>
        <w:pStyle w:val="Heading1"/>
        <w:spacing w:after="140" w:before="280"/>
      </w:pPr>
      <w:r>
        <w:rPr>
          <w:b/>
          <w:bCs/>
          <w:color w:val="1F4E79"/>
        </w:rPr>
        <w:t xml:space="preserve">3. The mechanism</w:t>
      </w:r>
    </w:p>
    <w:p>
      <w:pPr>
        <w:spacing w:after="120" w:before="0"/>
      </w:pPr>
      <w:r>
        <w:rPr>
          <w:sz w:val="22"/>
          <w:szCs w:val="22"/>
        </w:rPr>
        <w:t xml:space="preserve">DataHub provides a dynamic assignment type for exactly this. Introspecting the live GraphQL schema returns three options, with the platform's own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CE6F1" w:val="clear"/>
            <w:tcMar>
              <w:top w:type="dxa" w:w="80"/>
              <w:left w:type="dxa" w:w="120"/>
              <w:bottom w:type="dxa" w:w="80"/>
              <w:right w:type="dxa" w:w="120"/>
            </w:tcMar>
          </w:tcPr>
          <w:p>
            <w:pPr>
              <w:spacing w:after="0"/>
            </w:pPr>
            <w:r>
              <w:rPr>
                <w:b/>
                <w:bCs/>
                <w:sz w:val="19"/>
                <w:szCs w:val="19"/>
              </w:rPr>
              <w:t xml:space="preserve">ActionWorkflowStepDynamicAssignmentType</w:t>
            </w:r>
          </w:p>
        </w:tc>
        <w:tc>
          <w:tcPr>
            <w:tcW w:type="dxa" w:w="5160"/>
            <w:shd w:fill="DCE6F1" w:val="clear"/>
            <w:tcMar>
              <w:top w:type="dxa" w:w="80"/>
              <w:left w:type="dxa" w:w="120"/>
              <w:bottom w:type="dxa" w:w="80"/>
              <w:right w:type="dxa" w:w="120"/>
            </w:tcMar>
          </w:tcPr>
          <w:p>
            <w:pPr>
              <w:spacing w:after="0"/>
            </w:pPr>
            <w:r>
              <w:rPr>
                <w:b/>
                <w:bCs/>
                <w:sz w:val="19"/>
                <w:szCs w:val="19"/>
              </w:rPr>
              <w:t xml:space="preserve">Description</w:t>
            </w:r>
          </w:p>
        </w:tc>
      </w:tr>
      <w:tr>
        <w:tc>
          <w:tcPr>
            <w:tcW w:type="dxa" w:w="420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ENTITY_OWNERS</w:t>
            </w:r>
          </w:p>
        </w:tc>
        <w:tc>
          <w:tcPr>
            <w:tcW w:type="dxa" w:w="5160"/>
            <w:tcMar>
              <w:top w:type="dxa" w:w="80"/>
              <w:left w:type="dxa" w:w="120"/>
              <w:bottom w:type="dxa" w:w="80"/>
              <w:right w:type="dxa" w:w="120"/>
            </w:tcMar>
          </w:tcPr>
          <w:p>
            <w:pPr>
              <w:spacing w:after="0"/>
            </w:pPr>
            <w:r>
              <w:rPr>
                <w:b w:val="false"/>
                <w:bCs w:val="false"/>
                <w:sz w:val="19"/>
                <w:szCs w:val="19"/>
              </w:rPr>
              <w:t xml:space="preserve">Assign the entity owners.</w:t>
            </w:r>
          </w:p>
        </w:tc>
      </w:tr>
      <w:tr>
        <w:tc>
          <w:tcPr>
            <w:tcW w:type="dxa" w:w="420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ENTITY_DOMAIN_OWNERS</w:t>
            </w:r>
          </w:p>
        </w:tc>
        <w:tc>
          <w:tcPr>
            <w:tcW w:type="dxa" w:w="5160"/>
            <w:tcMar>
              <w:top w:type="dxa" w:w="80"/>
              <w:left w:type="dxa" w:w="120"/>
              <w:bottom w:type="dxa" w:w="80"/>
              <w:right w:type="dxa" w:w="120"/>
            </w:tcMar>
          </w:tcPr>
          <w:p>
            <w:pPr>
              <w:spacing w:after="0"/>
            </w:pPr>
            <w:r>
              <w:rPr>
                <w:b w:val="false"/>
                <w:bCs w:val="false"/>
                <w:sz w:val="19"/>
                <w:szCs w:val="19"/>
              </w:rPr>
              <w:t xml:space="preserve">Assign the entity domain owners.</w:t>
            </w:r>
          </w:p>
        </w:tc>
      </w:tr>
      <w:tr>
        <w:tc>
          <w:tcPr>
            <w:tcW w:type="dxa" w:w="420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ENTITY_DATA_PRODUCT_OWNERS</w:t>
            </w:r>
          </w:p>
        </w:tc>
        <w:tc>
          <w:tcPr>
            <w:tcW w:type="dxa" w:w="5160"/>
            <w:tcMar>
              <w:top w:type="dxa" w:w="80"/>
              <w:left w:type="dxa" w:w="120"/>
              <w:bottom w:type="dxa" w:w="80"/>
              <w:right w:type="dxa" w:w="120"/>
            </w:tcMar>
          </w:tcPr>
          <w:p>
            <w:pPr>
              <w:spacing w:after="0"/>
            </w:pPr>
            <w:r>
              <w:rPr>
                <w:b w:val="false"/>
                <w:bCs w:val="false"/>
                <w:sz w:val="19"/>
                <w:szCs w:val="19"/>
              </w:rPr>
              <w:t xml:space="preserve">Assign the entity data product owners.</w:t>
            </w:r>
          </w:p>
        </w:tc>
      </w:tr>
    </w:tbl>
    <w:p>
      <w:pPr>
        <w:spacing w:after="120" w:before="0"/>
      </w:pPr>
      <w:r>
        <w:rPr>
          <w:sz w:val="22"/>
          <w:szCs w:val="22"/>
        </w:rPr>
        <w:t xml:space="preserve"/>
      </w:r>
    </w:p>
    <w:p>
      <w:pPr>
        <w:spacing w:after="120" w:before="0"/>
      </w:pPr>
      <w:r>
        <w:rPr>
          <w:sz w:val="22"/>
          <w:szCs w:val="22"/>
        </w:rPr>
        <w:t xml:space="preserve">ENTITY_DOMAIN_OWNERS resolves the domain of the entity the request was raised against, then takes that domain's owners. Pairing it with ownershipTypeUrns narrows those owners to a single ownership type — here, Data Steward.</w:t>
      </w:r>
    </w:p>
    <w:p>
      <w:pPr>
        <w:spacing w:after="120" w:before="0"/>
      </w:pPr>
      <w:r>
        <w:rPr>
          <w:sz w:val="22"/>
          <w:szCs w:val="22"/>
        </w:rPr>
        <w:t xml:space="preserve">Result: a request raised against a dataset is routed to the Data Steward of that dataset's domain, and to nobody else. No per-domain configuration is required; the workflow reads the ownership already recorded on the domain.</w:t>
      </w:r>
    </w:p>
    <w:p>
      <w:pPr>
        <w:pStyle w:val="Heading1"/>
        <w:spacing w:after="140" w:before="280"/>
      </w:pPr>
      <w:r>
        <w:rPr>
          <w:b/>
          <w:bCs/>
          <w:color w:val="1F4E79"/>
        </w:rPr>
        <w:t xml:space="preserve">4. The change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shd w:fill="DCE6F1" w:val="clear"/>
            <w:tcMar>
              <w:top w:type="dxa" w:w="80"/>
              <w:left w:type="dxa" w:w="120"/>
              <w:bottom w:type="dxa" w:w="80"/>
              <w:right w:type="dxa" w:w="120"/>
            </w:tcMar>
          </w:tcPr>
          <w:p>
            <w:pPr>
              <w:spacing w:after="0"/>
            </w:pPr>
            <w:r>
              <w:rPr>
                <w:b/>
                <w:bCs/>
                <w:sz w:val="19"/>
                <w:szCs w:val="19"/>
              </w:rPr>
              <w:t xml:space="preserve"/>
            </w:r>
          </w:p>
        </w:tc>
        <w:tc>
          <w:tcPr>
            <w:tcW w:type="dxa" w:w="3500"/>
            <w:shd w:fill="DCE6F1" w:val="clear"/>
            <w:tcMar>
              <w:top w:type="dxa" w:w="80"/>
              <w:left w:type="dxa" w:w="120"/>
              <w:bottom w:type="dxa" w:w="80"/>
              <w:right w:type="dxa" w:w="120"/>
            </w:tcMar>
          </w:tcPr>
          <w:p>
            <w:pPr>
              <w:spacing w:after="0"/>
            </w:pPr>
            <w:r>
              <w:rPr>
                <w:b/>
                <w:bCs/>
                <w:sz w:val="19"/>
                <w:szCs w:val="19"/>
              </w:rPr>
              <w:t xml:space="preserve">Before</w:t>
            </w:r>
          </w:p>
        </w:tc>
        <w:tc>
          <w:tcPr>
            <w:tcW w:type="dxa" w:w="3960"/>
            <w:shd w:fill="DCE6F1" w:val="clear"/>
            <w:tcMar>
              <w:top w:type="dxa" w:w="80"/>
              <w:left w:type="dxa" w:w="120"/>
              <w:bottom w:type="dxa" w:w="80"/>
              <w:right w:type="dxa" w:w="120"/>
            </w:tcMar>
          </w:tcPr>
          <w:p>
            <w:pPr>
              <w:spacing w:after="0"/>
            </w:pPr>
            <w:r>
              <w:rPr>
                <w:b/>
                <w:bCs/>
                <w:sz w:val="19"/>
                <w:szCs w:val="19"/>
              </w:rPr>
              <w:t xml:space="preserve">After</w:t>
            </w:r>
          </w:p>
        </w:tc>
      </w:tr>
      <w:tr>
        <w:tc>
          <w:tcPr>
            <w:tcW w:type="dxa" w:w="1900"/>
            <w:tcMar>
              <w:top w:type="dxa" w:w="80"/>
              <w:left w:type="dxa" w:w="120"/>
              <w:bottom w:type="dxa" w:w="80"/>
              <w:right w:type="dxa" w:w="120"/>
            </w:tcMar>
          </w:tcPr>
          <w:p>
            <w:pPr>
              <w:spacing w:after="0"/>
            </w:pPr>
            <w:r>
              <w:rPr>
                <w:b w:val="false"/>
                <w:bCs w:val="false"/>
                <w:sz w:val="19"/>
                <w:szCs w:val="19"/>
              </w:rPr>
              <w:t xml:space="preserve">Static actors</w:t>
            </w:r>
          </w:p>
        </w:tc>
        <w:tc>
          <w:tcPr>
            <w:tcW w:type="dxa" w:w="350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users: [data.steward]</w:t>
            </w:r>
          </w:p>
        </w:tc>
        <w:tc>
          <w:tcPr>
            <w:tcW w:type="dxa" w:w="3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userUrns: []</w:t>
            </w:r>
          </w:p>
        </w:tc>
      </w:tr>
      <w:tr>
        <w:tc>
          <w:tcPr>
            <w:tcW w:type="dxa" w:w="1900"/>
            <w:tcMar>
              <w:top w:type="dxa" w:w="80"/>
              <w:left w:type="dxa" w:w="120"/>
              <w:bottom w:type="dxa" w:w="80"/>
              <w:right w:type="dxa" w:w="120"/>
            </w:tcMar>
          </w:tcPr>
          <w:p>
            <w:pPr>
              <w:spacing w:after="0"/>
            </w:pPr>
            <w:r>
              <w:rPr>
                <w:b w:val="false"/>
                <w:bCs w:val="false"/>
                <w:sz w:val="19"/>
                <w:szCs w:val="19"/>
              </w:rPr>
              <w:t xml:space="preserve">Assignment type</w:t>
            </w:r>
          </w:p>
        </w:tc>
        <w:tc>
          <w:tcPr>
            <w:tcW w:type="dxa" w:w="350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ENTITY_OWNERS</w:t>
            </w:r>
          </w:p>
        </w:tc>
        <w:tc>
          <w:tcPr>
            <w:tcW w:type="dxa" w:w="3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ENTITY_DOMAIN_OWNERS</w:t>
            </w:r>
          </w:p>
        </w:tc>
      </w:tr>
      <w:tr>
        <w:tc>
          <w:tcPr>
            <w:tcW w:type="dxa" w:w="1900"/>
            <w:tcMar>
              <w:top w:type="dxa" w:w="80"/>
              <w:left w:type="dxa" w:w="120"/>
              <w:bottom w:type="dxa" w:w="80"/>
              <w:right w:type="dxa" w:w="120"/>
            </w:tcMar>
          </w:tcPr>
          <w:p>
            <w:pPr>
              <w:spacing w:after="0"/>
            </w:pPr>
            <w:r>
              <w:rPr>
                <w:b w:val="false"/>
                <w:bCs w:val="false"/>
                <w:sz w:val="19"/>
                <w:szCs w:val="19"/>
              </w:rPr>
              <w:t xml:space="preserve">Ownership filter</w:t>
            </w:r>
          </w:p>
        </w:tc>
        <w:tc>
          <w:tcPr>
            <w:tcW w:type="dxa" w:w="350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ownershipTypes: []  (every type)</w:t>
            </w:r>
          </w:p>
        </w:tc>
        <w:tc>
          <w:tcPr>
            <w:tcW w:type="dxa" w:w="3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__system__data_steward</w:t>
            </w:r>
          </w:p>
        </w:tc>
      </w:tr>
    </w:tbl>
    <w:p>
      <w:pPr>
        <w:spacing w:after="120" w:before="0"/>
      </w:pPr>
      <w:r>
        <w:rPr>
          <w:sz w:val="22"/>
          <w:szCs w:val="22"/>
        </w:rPr>
        <w:t xml:space="preserve"/>
      </w:r>
    </w:p>
    <w:p>
      <w:pPr>
        <w:spacing w:after="120" w:before="0"/>
      </w:pPr>
      <w:r>
        <w:rPr>
          <w:sz w:val="22"/>
          <w:szCs w:val="22"/>
        </w:rPr>
        <w:t xml:space="preserve">The hardcoded user was removed deliberately. Leaving it would assign that person to every request regardless of domain, which is the behaviour being eliminated.</w:t>
      </w:r>
    </w:p>
    <w:p>
      <w:pPr>
        <w:spacing w:after="120" w:before="0"/>
      </w:pPr>
      <w:r>
        <w:rPr>
          <w:sz w:val="22"/>
          <w:szCs w:val="22"/>
        </w:rPr>
        <w:t xml:space="preserve">Deployed to the Dataset Access Request workflow (urn:li:actionWorkflow:7110b19c-45b9-4450-b8bb-ba47d9f522ba) and verified live. The definition is version-controlled at workflows/definitions/action-workflow-dataset-access-request_v2.json.</w:t>
      </w:r>
    </w:p>
    <w:p>
      <w:r>
        <w:br w:type="page"/>
      </w:r>
    </w:p>
    <w:p>
      <w:pPr>
        <w:pStyle w:val="Heading1"/>
        <w:spacing w:after="140" w:before="280"/>
      </w:pPr>
      <w:r>
        <w:rPr>
          <w:b/>
          <w:bCs/>
          <w:color w:val="1F4E79"/>
        </w:rPr>
        <w:t xml:space="preserve">5. Prerequisite: domain ownership must exist</w:t>
      </w:r>
    </w:p>
    <w:p>
      <w:pPr>
        <w:spacing w:after="120" w:before="0"/>
      </w:pPr>
      <w:r>
        <w:rPr>
          <w:b/>
          <w:bCs/>
          <w:sz w:val="22"/>
          <w:szCs w:val="22"/>
        </w:rPr>
        <w:t xml:space="preserve">This is the part that determines whether the feature works in practice. The routing is only as good as the ownership recorded on each domain.</w:t>
      </w:r>
    </w:p>
    <w:p>
      <w:pPr>
        <w:spacing w:after="120" w:before="0"/>
      </w:pPr>
      <w:r>
        <w:rPr>
          <w:sz w:val="22"/>
          <w:szCs w:val="22"/>
        </w:rPr>
        <w:t xml:space="preserve">For a request to reach anyone, two things must be true: the dataset must be assigned to a domain, and that domain must have an owner carrying the Data Steward ownership type.</w:t>
      </w:r>
    </w:p>
    <w:p>
      <w:pPr>
        <w:spacing w:after="120" w:before="0"/>
      </w:pPr>
      <w:r>
        <w:rPr>
          <w:sz w:val="22"/>
          <w:szCs w:val="22"/>
        </w:rPr>
        <w:t xml:space="preserve">Current coverage on the trial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shd w:fill="DCE6F1" w:val="clear"/>
            <w:tcMar>
              <w:top w:type="dxa" w:w="80"/>
              <w:left w:type="dxa" w:w="120"/>
              <w:bottom w:type="dxa" w:w="80"/>
              <w:right w:type="dxa" w:w="120"/>
            </w:tcMar>
          </w:tcPr>
          <w:p>
            <w:pPr>
              <w:spacing w:after="0"/>
            </w:pPr>
            <w:r>
              <w:rPr>
                <w:b/>
                <w:bCs/>
                <w:sz w:val="19"/>
                <w:szCs w:val="19"/>
              </w:rPr>
              <w:t xml:space="preserve">Measure</w:t>
            </w:r>
          </w:p>
        </w:tc>
        <w:tc>
          <w:tcPr>
            <w:tcW w:type="dxa" w:w="1200"/>
            <w:shd w:fill="DCE6F1" w:val="clear"/>
            <w:tcMar>
              <w:top w:type="dxa" w:w="80"/>
              <w:left w:type="dxa" w:w="120"/>
              <w:bottom w:type="dxa" w:w="80"/>
              <w:right w:type="dxa" w:w="120"/>
            </w:tcMar>
          </w:tcPr>
          <w:p>
            <w:pPr>
              <w:spacing w:after="0"/>
            </w:pPr>
            <w:r>
              <w:rPr>
                <w:b/>
                <w:bCs/>
                <w:sz w:val="19"/>
                <w:szCs w:val="19"/>
              </w:rPr>
              <w:t xml:space="preserve">Count</w:t>
            </w:r>
          </w:p>
        </w:tc>
        <w:tc>
          <w:tcPr>
            <w:tcW w:type="dxa" w:w="4160"/>
            <w:shd w:fill="DCE6F1" w:val="clear"/>
            <w:tcMar>
              <w:top w:type="dxa" w:w="80"/>
              <w:left w:type="dxa" w:w="120"/>
              <w:bottom w:type="dxa" w:w="80"/>
              <w:right w:type="dxa" w:w="120"/>
            </w:tcMar>
          </w:tcPr>
          <w:p>
            <w:pPr>
              <w:spacing w:after="0"/>
            </w:pPr>
            <w:r>
              <w:rPr>
                <w:b/>
                <w:bCs/>
                <w:sz w:val="19"/>
                <w:szCs w:val="19"/>
              </w:rPr>
              <w:t xml:space="preserve">Consequence</w:t>
            </w:r>
          </w:p>
        </w:tc>
      </w:tr>
      <w:tr>
        <w:tc>
          <w:tcPr>
            <w:tcW w:type="dxa" w:w="4000"/>
            <w:tcMar>
              <w:top w:type="dxa" w:w="80"/>
              <w:left w:type="dxa" w:w="120"/>
              <w:bottom w:type="dxa" w:w="80"/>
              <w:right w:type="dxa" w:w="120"/>
            </w:tcMar>
          </w:tcPr>
          <w:p>
            <w:pPr>
              <w:spacing w:after="0"/>
            </w:pPr>
            <w:r>
              <w:rPr>
                <w:b w:val="false"/>
                <w:bCs w:val="false"/>
                <w:sz w:val="19"/>
                <w:szCs w:val="19"/>
              </w:rPr>
              <w:t xml:space="preserve">Datasets total</w:t>
            </w:r>
          </w:p>
        </w:tc>
        <w:tc>
          <w:tcPr>
            <w:tcW w:type="dxa" w:w="1200"/>
            <w:tcMar>
              <w:top w:type="dxa" w:w="80"/>
              <w:left w:type="dxa" w:w="120"/>
              <w:bottom w:type="dxa" w:w="80"/>
              <w:right w:type="dxa" w:w="120"/>
            </w:tcMar>
          </w:tcPr>
          <w:p>
            <w:pPr>
              <w:spacing w:after="0"/>
            </w:pPr>
            <w:r>
              <w:rPr>
                <w:b w:val="false"/>
                <w:bCs w:val="false"/>
                <w:sz w:val="19"/>
                <w:szCs w:val="19"/>
              </w:rPr>
              <w:t xml:space="preserve">499</w:t>
            </w:r>
          </w:p>
        </w:tc>
        <w:tc>
          <w:tcPr>
            <w:tcW w:type="dxa" w:w="4160"/>
            <w:tcMar>
              <w:top w:type="dxa" w:w="80"/>
              <w:left w:type="dxa" w:w="120"/>
              <w:bottom w:type="dxa" w:w="80"/>
              <w:right w:type="dxa" w:w="120"/>
            </w:tcMar>
          </w:tcPr>
          <w:p>
            <w:pPr>
              <w:spacing w:after="0"/>
            </w:pPr>
            <w:r>
              <w:rPr>
                <w:b w:val="false"/>
                <w:bCs w:val="false"/>
                <w:sz w:val="19"/>
                <w:szCs w:val="19"/>
              </w:rPr>
              <w:t xml:space="preserve"/>
            </w:r>
          </w:p>
        </w:tc>
      </w:tr>
      <w:tr>
        <w:tc>
          <w:tcPr>
            <w:tcW w:type="dxa" w:w="4000"/>
            <w:tcMar>
              <w:top w:type="dxa" w:w="80"/>
              <w:left w:type="dxa" w:w="120"/>
              <w:bottom w:type="dxa" w:w="80"/>
              <w:right w:type="dxa" w:w="120"/>
            </w:tcMar>
          </w:tcPr>
          <w:p>
            <w:pPr>
              <w:spacing w:after="0"/>
            </w:pPr>
            <w:r>
              <w:rPr>
                <w:b w:val="false"/>
                <w:bCs w:val="false"/>
                <w:sz w:val="19"/>
                <w:szCs w:val="19"/>
              </w:rPr>
              <w:t xml:space="preserve">Datasets assigned to a domain</w:t>
            </w:r>
          </w:p>
        </w:tc>
        <w:tc>
          <w:tcPr>
            <w:tcW w:type="dxa" w:w="1200"/>
            <w:tcMar>
              <w:top w:type="dxa" w:w="80"/>
              <w:left w:type="dxa" w:w="120"/>
              <w:bottom w:type="dxa" w:w="80"/>
              <w:right w:type="dxa" w:w="120"/>
            </w:tcMar>
          </w:tcPr>
          <w:p>
            <w:pPr>
              <w:spacing w:after="0"/>
            </w:pPr>
            <w:r>
              <w:rPr>
                <w:b w:val="false"/>
                <w:bCs w:val="false"/>
                <w:sz w:val="19"/>
                <w:szCs w:val="19"/>
              </w:rPr>
              <w:t xml:space="preserve">29</w:t>
            </w:r>
          </w:p>
        </w:tc>
        <w:tc>
          <w:tcPr>
            <w:tcW w:type="dxa" w:w="4160"/>
            <w:tcMar>
              <w:top w:type="dxa" w:w="80"/>
              <w:left w:type="dxa" w:w="120"/>
              <w:bottom w:type="dxa" w:w="80"/>
              <w:right w:type="dxa" w:w="120"/>
            </w:tcMar>
          </w:tcPr>
          <w:p>
            <w:pPr>
              <w:spacing w:after="0"/>
            </w:pPr>
            <w:r>
              <w:rPr>
                <w:b w:val="false"/>
                <w:bCs w:val="false"/>
                <w:sz w:val="19"/>
                <w:szCs w:val="19"/>
              </w:rPr>
              <w:t xml:space="preserve">470 have no domain — no approver can be resolved</w:t>
            </w:r>
          </w:p>
        </w:tc>
      </w:tr>
      <w:tr>
        <w:tc>
          <w:tcPr>
            <w:tcW w:type="dxa" w:w="4000"/>
            <w:tcMar>
              <w:top w:type="dxa" w:w="80"/>
              <w:left w:type="dxa" w:w="120"/>
              <w:bottom w:type="dxa" w:w="80"/>
              <w:right w:type="dxa" w:w="120"/>
            </w:tcMar>
          </w:tcPr>
          <w:p>
            <w:pPr>
              <w:spacing w:after="0"/>
            </w:pPr>
            <w:r>
              <w:rPr>
                <w:b w:val="false"/>
                <w:bCs w:val="false"/>
                <w:sz w:val="19"/>
                <w:szCs w:val="19"/>
              </w:rPr>
              <w:t xml:space="preserve">Of those, in a domain with a Data Steward</w:t>
            </w:r>
          </w:p>
        </w:tc>
        <w:tc>
          <w:tcPr>
            <w:tcW w:type="dxa" w:w="1200"/>
            <w:tcMar>
              <w:top w:type="dxa" w:w="80"/>
              <w:left w:type="dxa" w:w="120"/>
              <w:bottom w:type="dxa" w:w="80"/>
              <w:right w:type="dxa" w:w="120"/>
            </w:tcMar>
          </w:tcPr>
          <w:p>
            <w:pPr>
              <w:spacing w:after="0"/>
            </w:pPr>
            <w:r>
              <w:rPr>
                <w:b w:val="false"/>
                <w:bCs w:val="false"/>
                <w:sz w:val="19"/>
                <w:szCs w:val="19"/>
              </w:rPr>
              <w:t xml:space="preserve">22</w:t>
            </w:r>
          </w:p>
        </w:tc>
        <w:tc>
          <w:tcPr>
            <w:tcW w:type="dxa" w:w="4160"/>
            <w:tcMar>
              <w:top w:type="dxa" w:w="80"/>
              <w:left w:type="dxa" w:w="120"/>
              <w:bottom w:type="dxa" w:w="80"/>
              <w:right w:type="dxa" w:w="120"/>
            </w:tcMar>
          </w:tcPr>
          <w:p>
            <w:pPr>
              <w:spacing w:after="0"/>
            </w:pPr>
            <w:r>
              <w:rPr>
                <w:b w:val="false"/>
                <w:bCs w:val="false"/>
                <w:sz w:val="19"/>
                <w:szCs w:val="19"/>
              </w:rPr>
              <w:t xml:space="preserve">7 resolve to nobody</w:t>
            </w:r>
          </w:p>
        </w:tc>
      </w:tr>
    </w:tbl>
    <w:p>
      <w:pPr>
        <w:spacing w:after="120" w:before="0"/>
      </w:pPr>
      <w:r>
        <w:rPr>
          <w:sz w:val="22"/>
          <w:szCs w:val="22"/>
        </w:rPr>
        <w:t xml:space="preserve"/>
      </w:r>
    </w:p>
    <w:p>
      <w:pPr>
        <w:spacing w:after="120" w:before="0"/>
      </w:pPr>
      <w:r>
        <w:rPr>
          <w:sz w:val="22"/>
          <w:szCs w:val="22"/>
        </w:rPr>
        <w:t xml:space="preserve">Assigning a single organisation-wide Data Stewards group directly to the step is the anti-pattern that produces the original symptom. Domain-scoped approval instead requires each domain to carry its own steward as an owner. Populating that ownership is a data exercise, not a configuration change.</w:t>
      </w:r>
    </w:p>
    <w:p>
      <w:pPr>
        <w:pStyle w:val="Heading1"/>
        <w:spacing w:after="140" w:before="280"/>
      </w:pPr>
      <w:r>
        <w:rPr>
          <w:b/>
          <w:bCs/>
          <w:color w:val="1F4E79"/>
        </w:rPr>
        <w:t xml:space="preserve">6. Demo walkthrough</w:t>
      </w:r>
    </w:p>
    <w:p>
      <w:pPr>
        <w:spacing w:after="120" w:before="0"/>
      </w:pPr>
      <w:r>
        <w:rPr>
          <w:sz w:val="22"/>
          <w:szCs w:val="22"/>
        </w:rPr>
        <w:t xml:space="preserve">This sequence uses one dataset and changes one variable, so the causal link is unambiguous: the workflow, the form, and the entity stay fixed; only the domain's ownership changes, and the approver changes with it.</w:t>
      </w:r>
    </w:p>
    <w:p>
      <w:pPr>
        <w:spacing w:after="120" w:before="0"/>
      </w:pPr>
      <w:r>
        <w:rPr>
          <w:sz w:val="22"/>
          <w:szCs w:val="22"/>
        </w:rPr>
        <w:t xml:space="preserve">Setup used: the domain Finance Division, whose Data Steward was Fiona Green (urn:li:corpuser:sample_data_marty@example.com). Note that this sample user's display name does not match its username, which can be momentarily confusing during a demo.</w:t>
      </w:r>
    </w:p>
    <w:p>
      <w:pPr>
        <w:pStyle w:val="Heading2"/>
        <w:spacing w:after="140" w:before="280"/>
      </w:pPr>
      <w:r>
        <w:rPr>
          <w:b/>
          <w:bCs/>
          <w:color w:val="1F4E79"/>
        </w:rPr>
        <w:t xml:space="preserve">Step 0 — Capture the baseline</w:t>
      </w:r>
    </w:p>
    <w:p>
      <w:pPr>
        <w:shd w:fill="F2F2F2" w:val="clear"/>
        <w:spacing w:after="0" w:before="60"/>
        <w:ind w:left="240"/>
      </w:pPr>
      <w:r>
        <w:rPr>
          <w:rFonts w:ascii="Consolas" w:cs="Consolas" w:eastAsia="Consolas" w:hAnsi="Consolas"/>
          <w:sz w:val="18"/>
          <w:szCs w:val="18"/>
        </w:rPr>
        <w:t xml:space="preserve">set -a &amp;&amp; . ./.env &amp;&amp; set +a</w:t>
      </w:r>
    </w:p>
    <w:p>
      <w:pPr>
        <w:shd w:fill="F2F2F2" w:val="clear"/>
        <w:spacing w:after="140" w:before="0"/>
        <w:ind w:left="240"/>
      </w:pPr>
      <w:r>
        <w:rPr>
          <w:rFonts w:ascii="Consolas" w:cs="Consolas" w:eastAsia="Consolas" w:hAnsi="Consolas"/>
          <w:sz w:val="18"/>
          <w:szCs w:val="18"/>
        </w:rPr>
        <w:t xml:space="preserve">.venv/bin/python workflows/definitions/show_request_assignees.py</w:t>
      </w:r>
    </w:p>
    <w:p>
      <w:pPr>
        <w:spacing w:after="120" w:before="0"/>
      </w:pPr>
      <w:r>
        <w:rPr>
          <w:sz w:val="22"/>
          <w:szCs w:val="22"/>
        </w:rPr>
        <w:t xml:space="preserve">Every historical request lists three approvers. Screenshot this; it is the “before”.</w:t>
      </w:r>
    </w:p>
    <w:p>
      <w:pPr>
        <w:pStyle w:val="Heading2"/>
        <w:spacing w:after="140" w:before="280"/>
      </w:pPr>
      <w:r>
        <w:rPr>
          <w:b/>
          <w:bCs/>
          <w:color w:val="1F4E79"/>
        </w:rPr>
        <w:t xml:space="preserve">Step 1 — Raise a request on a domain you do not steward</w:t>
      </w:r>
    </w:p>
    <w:p>
      <w:pPr>
        <w:pStyle w:val="ListParagraph"/>
        <w:numPr>
          <w:ilvl w:val="0"/>
          <w:numId w:val="3"/>
        </w:numPr>
        <w:spacing w:after="100"/>
      </w:pPr>
      <w:r>
        <w:rPr>
          <w:sz w:val="22"/>
          <w:szCs w:val="22"/>
        </w:rPr>
        <w:t xml:space="preserve">Open the dataset ORDER_HISTORY (snowflake), which belongs to Finance Division.</w:t>
      </w:r>
    </w:p>
    <w:p>
      <w:pPr>
        <w:pStyle w:val="ListParagraph"/>
        <w:numPr>
          <w:ilvl w:val="0"/>
          <w:numId w:val="3"/>
        </w:numPr>
        <w:spacing w:after="100"/>
      </w:pPr>
      <w:r>
        <w:rPr>
          <w:sz w:val="22"/>
          <w:szCs w:val="22"/>
        </w:rPr>
        <w:t xml:space="preserve">Confirm the right-hand panel shows the domain Finance Division.</w:t>
      </w:r>
    </w:p>
    <w:p>
      <w:pPr>
        <w:pStyle w:val="ListParagraph"/>
        <w:numPr>
          <w:ilvl w:val="0"/>
          <w:numId w:val="3"/>
        </w:numPr>
        <w:spacing w:after="100"/>
      </w:pPr>
      <w:r>
        <w:rPr>
          <w:sz w:val="22"/>
          <w:szCs w:val="22"/>
        </w:rPr>
        <w:t xml:space="preserve">Choose Request Access, complete the justification, and submit.</w:t>
      </w:r>
    </w:p>
    <w:p>
      <w:pPr>
        <w:pStyle w:val="ListParagraph"/>
        <w:numPr>
          <w:ilvl w:val="0"/>
          <w:numId w:val="3"/>
        </w:numPr>
        <w:spacing w:after="100"/>
      </w:pPr>
      <w:r>
        <w:rPr>
          <w:sz w:val="22"/>
          <w:szCs w:val="22"/>
        </w:rPr>
        <w:t xml:space="preserve">Observe that the task is assigned to Fiona Green and does not appear in your Task Center — even though you are a Data Steward on other domains.</w:t>
      </w:r>
    </w:p>
    <w:p>
      <w:pPr>
        <w:spacing w:after="120" w:before="0"/>
      </w:pPr>
      <w:r>
        <w:rPr>
          <w:i/>
          <w:iCs/>
          <w:sz w:val="22"/>
          <w:szCs w:val="22"/>
        </w:rPr>
        <w:t xml:space="preserve">This is the half that matters most. Being a steward somewhere does not place you in every queue.</w:t>
      </w:r>
    </w:p>
    <w:p>
      <w:pPr>
        <w:pStyle w:val="Heading2"/>
        <w:spacing w:after="140" w:before="280"/>
      </w:pPr>
      <w:r>
        <w:rPr>
          <w:b/>
          <w:bCs/>
          <w:color w:val="1F4E79"/>
        </w:rPr>
        <w:t xml:space="preserve">Step 2 — Add yourself as Data Steward of that domain</w:t>
      </w:r>
    </w:p>
    <w:p>
      <w:pPr>
        <w:pStyle w:val="ListParagraph"/>
        <w:numPr>
          <w:ilvl w:val="0"/>
          <w:numId w:val="3"/>
        </w:numPr>
        <w:spacing w:after="100"/>
      </w:pPr>
      <w:r>
        <w:rPr>
          <w:sz w:val="22"/>
          <w:szCs w:val="22"/>
        </w:rPr>
        <w:t xml:space="preserve">Open the Finance Division domain.</w:t>
      </w:r>
    </w:p>
    <w:p>
      <w:pPr>
        <w:pStyle w:val="ListParagraph"/>
        <w:numPr>
          <w:ilvl w:val="0"/>
          <w:numId w:val="3"/>
        </w:numPr>
        <w:spacing w:after="100"/>
      </w:pPr>
      <w:r>
        <w:rPr>
          <w:sz w:val="22"/>
          <w:szCs w:val="22"/>
        </w:rPr>
        <w:t xml:space="preserve">Add yourself as an owner with the ownership type Data Steward.</w:t>
      </w:r>
    </w:p>
    <w:p>
      <w:pPr>
        <w:pStyle w:val="Heading2"/>
        <w:spacing w:after="140" w:before="280"/>
      </w:pPr>
      <w:r>
        <w:rPr>
          <w:b/>
          <w:bCs/>
          <w:color w:val="1F4E79"/>
        </w:rPr>
        <w:t xml:space="preserve">Step 3 — Raise the same request again</w:t>
      </w:r>
    </w:p>
    <w:p>
      <w:pPr>
        <w:pStyle w:val="ListParagraph"/>
        <w:numPr>
          <w:ilvl w:val="0"/>
          <w:numId w:val="3"/>
        </w:numPr>
        <w:spacing w:after="100"/>
      </w:pPr>
      <w:r>
        <w:rPr>
          <w:sz w:val="22"/>
          <w:szCs w:val="22"/>
        </w:rPr>
        <w:t xml:space="preserve">Return to ORDER_HISTORY and submit another access request.</w:t>
      </w:r>
    </w:p>
    <w:p>
      <w:pPr>
        <w:pStyle w:val="ListParagraph"/>
        <w:numPr>
          <w:ilvl w:val="0"/>
          <w:numId w:val="3"/>
        </w:numPr>
        <w:spacing w:after="100"/>
      </w:pPr>
      <w:r>
        <w:rPr>
          <w:sz w:val="22"/>
          <w:szCs w:val="22"/>
        </w:rPr>
        <w:t xml:space="preserve">The task now lands in your Task Center.</w:t>
      </w:r>
    </w:p>
    <w:p>
      <w:pPr>
        <w:spacing w:after="120" w:before="0"/>
      </w:pPr>
      <w:r>
        <w:rPr>
          <w:sz w:val="22"/>
          <w:szCs w:val="22"/>
        </w:rPr>
        <w:t xml:space="preserve">Same dataset, same workflow, same form. Only the domain ownership changed, and the routing followed it.</w:t>
      </w:r>
    </w:p>
    <w:p>
      <w:pPr>
        <w:pStyle w:val="Heading2"/>
        <w:spacing w:after="140" w:before="280"/>
      </w:pPr>
      <w:r>
        <w:rPr>
          <w:b/>
          <w:bCs/>
          <w:color w:val="1F4E79"/>
        </w:rPr>
        <w:t xml:space="preserve">Step 4 — Show the objective record</w:t>
      </w:r>
    </w:p>
    <w:p>
      <w:pPr>
        <w:shd w:fill="F2F2F2" w:val="clear"/>
        <w:spacing w:after="140" w:before="60"/>
        <w:ind w:left="240"/>
      </w:pPr>
      <w:r>
        <w:rPr>
          <w:rFonts w:ascii="Consolas" w:cs="Consolas" w:eastAsia="Consolas" w:hAnsi="Consolas"/>
          <w:sz w:val="18"/>
          <w:szCs w:val="18"/>
        </w:rPr>
        <w:t xml:space="preserve">.venv/bin/python workflows/definitions/show_request_assignees.py</w:t>
      </w:r>
    </w:p>
    <w:p>
      <w:pPr>
        <w:spacing w:after="120" w:before="0"/>
      </w:pPr>
      <w:r>
        <w:rPr>
          <w:sz w:val="22"/>
          <w:szCs w:val="22"/>
        </w:rPr>
        <w:t xml:space="preserve">The Task Center can only show a reviewer their own queue, which cannot demonstrate that a request did not also go to everyone else. Reading the assignees off each request shows both halves at once.</w:t>
      </w:r>
    </w:p>
    <w:p>
      <w:pPr>
        <w:pStyle w:val="Heading1"/>
        <w:spacing w:after="140" w:before="280"/>
      </w:pPr>
      <w:r>
        <w:rPr>
          <w:b/>
          <w:bCs/>
          <w:color w:val="1F4E79"/>
        </w:rPr>
        <w:t xml:space="preserve">7. Evidence from the validated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100"/>
        <w:gridCol w:w="3560"/>
      </w:tblGrid>
      <w:tr>
        <w:trPr>
          <w:tblHeader/>
        </w:trPr>
        <w:tc>
          <w:tcPr>
            <w:tcW w:type="dxa" w:w="1000"/>
            <w:shd w:fill="DCE6F1" w:val="clear"/>
            <w:tcMar>
              <w:top w:type="dxa" w:w="80"/>
              <w:left w:type="dxa" w:w="120"/>
              <w:bottom w:type="dxa" w:w="80"/>
              <w:right w:type="dxa" w:w="120"/>
            </w:tcMar>
          </w:tcPr>
          <w:p>
            <w:pPr>
              <w:spacing w:after="0"/>
            </w:pPr>
            <w:r>
              <w:rPr>
                <w:b/>
                <w:bCs/>
                <w:sz w:val="19"/>
                <w:szCs w:val="19"/>
              </w:rPr>
              <w:t xml:space="preserve">Date</w:t>
            </w:r>
          </w:p>
        </w:tc>
        <w:tc>
          <w:tcPr>
            <w:tcW w:type="dxa" w:w="2700"/>
            <w:shd w:fill="DCE6F1" w:val="clear"/>
            <w:tcMar>
              <w:top w:type="dxa" w:w="80"/>
              <w:left w:type="dxa" w:w="120"/>
              <w:bottom w:type="dxa" w:w="80"/>
              <w:right w:type="dxa" w:w="120"/>
            </w:tcMar>
          </w:tcPr>
          <w:p>
            <w:pPr>
              <w:spacing w:after="0"/>
            </w:pPr>
            <w:r>
              <w:rPr>
                <w:b/>
                <w:bCs/>
                <w:sz w:val="19"/>
                <w:szCs w:val="19"/>
              </w:rPr>
              <w:t xml:space="preserve">Dataset / platform</w:t>
            </w:r>
          </w:p>
        </w:tc>
        <w:tc>
          <w:tcPr>
            <w:tcW w:type="dxa" w:w="2100"/>
            <w:shd w:fill="DCE6F1" w:val="clear"/>
            <w:tcMar>
              <w:top w:type="dxa" w:w="80"/>
              <w:left w:type="dxa" w:w="120"/>
              <w:bottom w:type="dxa" w:w="80"/>
              <w:right w:type="dxa" w:w="120"/>
            </w:tcMar>
          </w:tcPr>
          <w:p>
            <w:pPr>
              <w:spacing w:after="0"/>
            </w:pPr>
            <w:r>
              <w:rPr>
                <w:b/>
                <w:bCs/>
                <w:sz w:val="19"/>
                <w:szCs w:val="19"/>
              </w:rPr>
              <w:t xml:space="preserve">Domain</w:t>
            </w:r>
          </w:p>
        </w:tc>
        <w:tc>
          <w:tcPr>
            <w:tcW w:type="dxa" w:w="3560"/>
            <w:shd w:fill="DCE6F1" w:val="clear"/>
            <w:tcMar>
              <w:top w:type="dxa" w:w="80"/>
              <w:left w:type="dxa" w:w="120"/>
              <w:bottom w:type="dxa" w:w="80"/>
              <w:right w:type="dxa" w:w="120"/>
            </w:tcMar>
          </w:tcPr>
          <w:p>
            <w:pPr>
              <w:spacing w:after="0"/>
            </w:pPr>
            <w:r>
              <w:rPr>
                <w:b/>
                <w:bCs/>
                <w:sz w:val="19"/>
                <w:szCs w:val="19"/>
              </w:rPr>
              <w:t xml:space="preserve">Assigned to</w:t>
            </w:r>
          </w:p>
        </w:tc>
      </w:tr>
      <w:tr>
        <w:tc>
          <w:tcPr>
            <w:tcW w:type="dxa" w:w="1000"/>
            <w:tcMar>
              <w:top w:type="dxa" w:w="80"/>
              <w:left w:type="dxa" w:w="120"/>
              <w:bottom w:type="dxa" w:w="80"/>
              <w:right w:type="dxa" w:w="120"/>
            </w:tcMar>
          </w:tcPr>
          <w:p>
            <w:pPr>
              <w:spacing w:after="0"/>
            </w:pPr>
            <w:r>
              <w:rPr>
                <w:b w:val="false"/>
                <w:bCs w:val="false"/>
                <w:sz w:val="19"/>
                <w:szCs w:val="19"/>
              </w:rPr>
              <w:t xml:space="preserve">17 Sep</w:t>
            </w:r>
          </w:p>
        </w:tc>
        <w:tc>
          <w:tcPr>
            <w:tcW w:type="dxa" w:w="2700"/>
            <w:tcMar>
              <w:top w:type="dxa" w:w="80"/>
              <w:left w:type="dxa" w:w="120"/>
              <w:bottom w:type="dxa" w:w="80"/>
              <w:right w:type="dxa" w:w="120"/>
            </w:tcMar>
          </w:tcPr>
          <w:p>
            <w:pPr>
              <w:spacing w:after="0"/>
            </w:pPr>
            <w:r>
              <w:rPr>
                <w:b w:val="false"/>
                <w:bCs w:val="false"/>
                <w:sz w:val="19"/>
                <w:szCs w:val="19"/>
              </w:rPr>
              <w:t xml:space="preserve">banking_loans (databricks)</w:t>
            </w:r>
          </w:p>
        </w:tc>
        <w:tc>
          <w:tcPr>
            <w:tcW w:type="dxa" w:w="2100"/>
            <w:tcMar>
              <w:top w:type="dxa" w:w="80"/>
              <w:left w:type="dxa" w:w="120"/>
              <w:bottom w:type="dxa" w:w="80"/>
              <w:right w:type="dxa" w:w="120"/>
            </w:tcMar>
          </w:tcPr>
          <w:p>
            <w:pPr>
              <w:spacing w:after="0"/>
            </w:pPr>
            <w:r>
              <w:rPr>
                <w:b w:val="false"/>
                <w:bCs w:val="false"/>
                <w:sz w:val="19"/>
                <w:szCs w:val="19"/>
              </w:rPr>
              <w:t xml:space="preserve">—</w:t>
            </w:r>
          </w:p>
        </w:tc>
        <w:tc>
          <w:tcPr>
            <w:tcW w:type="dxa" w:w="3560"/>
            <w:tcMar>
              <w:top w:type="dxa" w:w="80"/>
              <w:left w:type="dxa" w:w="120"/>
              <w:bottom w:type="dxa" w:w="80"/>
              <w:right w:type="dxa" w:w="120"/>
            </w:tcMar>
          </w:tcPr>
          <w:p>
            <w:pPr>
              <w:spacing w:after="0"/>
            </w:pPr>
            <w:r>
              <w:rPr>
                <w:b w:val="false"/>
                <w:bCs w:val="false"/>
                <w:sz w:val="19"/>
                <w:szCs w:val="19"/>
              </w:rPr>
              <w:t xml:space="preserve">data.steward + 2 dataset owners</w:t>
            </w:r>
          </w:p>
        </w:tc>
      </w:tr>
      <w:tr>
        <w:tc>
          <w:tcPr>
            <w:tcW w:type="dxa" w:w="1000"/>
            <w:tcMar>
              <w:top w:type="dxa" w:w="80"/>
              <w:left w:type="dxa" w:w="120"/>
              <w:bottom w:type="dxa" w:w="80"/>
              <w:right w:type="dxa" w:w="120"/>
            </w:tcMar>
          </w:tcPr>
          <w:p>
            <w:pPr>
              <w:spacing w:after="0"/>
            </w:pPr>
            <w:r>
              <w:rPr>
                <w:b w:val="false"/>
                <w:bCs w:val="false"/>
                <w:sz w:val="19"/>
                <w:szCs w:val="19"/>
              </w:rPr>
              <w:t xml:space="preserve">17 Sep</w:t>
            </w:r>
          </w:p>
        </w:tc>
        <w:tc>
          <w:tcPr>
            <w:tcW w:type="dxa" w:w="2700"/>
            <w:tcMar>
              <w:top w:type="dxa" w:w="80"/>
              <w:left w:type="dxa" w:w="120"/>
              <w:bottom w:type="dxa" w:w="80"/>
              <w:right w:type="dxa" w:w="120"/>
            </w:tcMar>
          </w:tcPr>
          <w:p>
            <w:pPr>
              <w:spacing w:after="0"/>
            </w:pPr>
            <w:r>
              <w:rPr>
                <w:b w:val="false"/>
                <w:bCs w:val="false"/>
                <w:sz w:val="19"/>
                <w:szCs w:val="19"/>
              </w:rPr>
              <w:t xml:space="preserve">loans_banking (databricks)</w:t>
            </w:r>
          </w:p>
        </w:tc>
        <w:tc>
          <w:tcPr>
            <w:tcW w:type="dxa" w:w="2100"/>
            <w:tcMar>
              <w:top w:type="dxa" w:w="80"/>
              <w:left w:type="dxa" w:w="120"/>
              <w:bottom w:type="dxa" w:w="80"/>
              <w:right w:type="dxa" w:w="120"/>
            </w:tcMar>
          </w:tcPr>
          <w:p>
            <w:pPr>
              <w:spacing w:after="0"/>
            </w:pPr>
            <w:r>
              <w:rPr>
                <w:b w:val="false"/>
                <w:bCs w:val="false"/>
                <w:sz w:val="19"/>
                <w:szCs w:val="19"/>
              </w:rPr>
              <w:t xml:space="preserve">—</w:t>
            </w:r>
          </w:p>
        </w:tc>
        <w:tc>
          <w:tcPr>
            <w:tcW w:type="dxa" w:w="3560"/>
            <w:tcMar>
              <w:top w:type="dxa" w:w="80"/>
              <w:left w:type="dxa" w:w="120"/>
              <w:bottom w:type="dxa" w:w="80"/>
              <w:right w:type="dxa" w:w="120"/>
            </w:tcMar>
          </w:tcPr>
          <w:p>
            <w:pPr>
              <w:spacing w:after="0"/>
            </w:pPr>
            <w:r>
              <w:rPr>
                <w:b w:val="false"/>
                <w:bCs w:val="false"/>
                <w:sz w:val="19"/>
                <w:szCs w:val="19"/>
              </w:rPr>
              <w:t xml:space="preserve">data.steward + 2 dataset owners</w:t>
            </w:r>
          </w:p>
        </w:tc>
      </w:tr>
      <w:tr>
        <w:tc>
          <w:tcPr>
            <w:tcW w:type="dxa" w:w="1000"/>
            <w:tcMar>
              <w:top w:type="dxa" w:w="80"/>
              <w:left w:type="dxa" w:w="120"/>
              <w:bottom w:type="dxa" w:w="80"/>
              <w:right w:type="dxa" w:w="120"/>
            </w:tcMar>
          </w:tcPr>
          <w:p>
            <w:pPr>
              <w:spacing w:after="0"/>
            </w:pPr>
            <w:r>
              <w:rPr>
                <w:b w:val="false"/>
                <w:bCs w:val="false"/>
                <w:sz w:val="19"/>
                <w:szCs w:val="19"/>
              </w:rPr>
              <w:t xml:space="preserve">23 Sep</w:t>
            </w:r>
          </w:p>
        </w:tc>
        <w:tc>
          <w:tcPr>
            <w:tcW w:type="dxa" w:w="2700"/>
            <w:tcMar>
              <w:top w:type="dxa" w:w="80"/>
              <w:left w:type="dxa" w:w="120"/>
              <w:bottom w:type="dxa" w:w="80"/>
              <w:right w:type="dxa" w:w="120"/>
            </w:tcMar>
          </w:tcPr>
          <w:p>
            <w:pPr>
              <w:spacing w:after="0"/>
            </w:pPr>
            <w:r>
              <w:rPr>
                <w:b w:val="false"/>
                <w:bCs w:val="false"/>
                <w:sz w:val="19"/>
                <w:szCs w:val="19"/>
              </w:rPr>
              <w:t xml:space="preserve">customers (dbt)</w:t>
            </w:r>
          </w:p>
        </w:tc>
        <w:tc>
          <w:tcPr>
            <w:tcW w:type="dxa" w:w="2100"/>
            <w:tcMar>
              <w:top w:type="dxa" w:w="80"/>
              <w:left w:type="dxa" w:w="120"/>
              <w:bottom w:type="dxa" w:w="80"/>
              <w:right w:type="dxa" w:w="120"/>
            </w:tcMar>
          </w:tcPr>
          <w:p>
            <w:pPr>
              <w:spacing w:after="0"/>
            </w:pPr>
            <w:r>
              <w:rPr>
                <w:b w:val="false"/>
                <w:bCs w:val="false"/>
                <w:sz w:val="19"/>
                <w:szCs w:val="19"/>
              </w:rPr>
              <w:t xml:space="preserve">Data Platform Team</w:t>
            </w:r>
          </w:p>
        </w:tc>
        <w:tc>
          <w:tcPr>
            <w:tcW w:type="dxa" w:w="3560"/>
            <w:tcMar>
              <w:top w:type="dxa" w:w="80"/>
              <w:left w:type="dxa" w:w="120"/>
              <w:bottom w:type="dxa" w:w="80"/>
              <w:right w:type="dxa" w:w="120"/>
            </w:tcMar>
          </w:tcPr>
          <w:p>
            <w:pPr>
              <w:spacing w:after="0"/>
            </w:pPr>
            <w:r>
              <w:rPr>
                <w:b w:val="false"/>
                <w:bCs w:val="false"/>
                <w:sz w:val="19"/>
                <w:szCs w:val="19"/>
              </w:rPr>
              <w:t xml:space="preserve">Stephen Hwang only</w:t>
            </w:r>
          </w:p>
        </w:tc>
      </w:tr>
      <w:tr>
        <w:tc>
          <w:tcPr>
            <w:tcW w:type="dxa" w:w="1000"/>
            <w:tcMar>
              <w:top w:type="dxa" w:w="80"/>
              <w:left w:type="dxa" w:w="120"/>
              <w:bottom w:type="dxa" w:w="80"/>
              <w:right w:type="dxa" w:w="120"/>
            </w:tcMar>
          </w:tcPr>
          <w:p>
            <w:pPr>
              <w:spacing w:after="0"/>
            </w:pPr>
            <w:r>
              <w:rPr>
                <w:b w:val="false"/>
                <w:bCs w:val="false"/>
                <w:sz w:val="19"/>
                <w:szCs w:val="19"/>
              </w:rPr>
              <w:t xml:space="preserve">23 Sep</w:t>
            </w:r>
          </w:p>
        </w:tc>
        <w:tc>
          <w:tcPr>
            <w:tcW w:type="dxa" w:w="2700"/>
            <w:tcMar>
              <w:top w:type="dxa" w:w="80"/>
              <w:left w:type="dxa" w:w="120"/>
              <w:bottom w:type="dxa" w:w="80"/>
              <w:right w:type="dxa" w:w="120"/>
            </w:tcMar>
          </w:tcPr>
          <w:p>
            <w:pPr>
              <w:spacing w:after="0"/>
            </w:pPr>
            <w:r>
              <w:rPr>
                <w:b w:val="false"/>
                <w:bCs w:val="false"/>
                <w:sz w:val="19"/>
                <w:szCs w:val="19"/>
              </w:rPr>
              <w:t xml:space="preserve">ORDER_HISTORY (snowflake)</w:t>
            </w:r>
          </w:p>
        </w:tc>
        <w:tc>
          <w:tcPr>
            <w:tcW w:type="dxa" w:w="2100"/>
            <w:tcMar>
              <w:top w:type="dxa" w:w="80"/>
              <w:left w:type="dxa" w:w="120"/>
              <w:bottom w:type="dxa" w:w="80"/>
              <w:right w:type="dxa" w:w="120"/>
            </w:tcMar>
          </w:tcPr>
          <w:p>
            <w:pPr>
              <w:spacing w:after="0"/>
            </w:pPr>
            <w:r>
              <w:rPr>
                <w:b w:val="false"/>
                <w:bCs w:val="false"/>
                <w:sz w:val="19"/>
                <w:szCs w:val="19"/>
              </w:rPr>
              <w:t xml:space="preserve">Finance Division</w:t>
            </w:r>
          </w:p>
        </w:tc>
        <w:tc>
          <w:tcPr>
            <w:tcW w:type="dxa" w:w="3560"/>
            <w:tcMar>
              <w:top w:type="dxa" w:w="80"/>
              <w:left w:type="dxa" w:w="120"/>
              <w:bottom w:type="dxa" w:w="80"/>
              <w:right w:type="dxa" w:w="120"/>
            </w:tcMar>
          </w:tcPr>
          <w:p>
            <w:pPr>
              <w:spacing w:after="0"/>
            </w:pPr>
            <w:r>
              <w:rPr>
                <w:b w:val="false"/>
                <w:bCs w:val="false"/>
                <w:sz w:val="19"/>
                <w:szCs w:val="19"/>
              </w:rPr>
              <w:t xml:space="preserve">Fiona Green, then Stephen after ownership was added</w:t>
            </w:r>
          </w:p>
        </w:tc>
      </w:tr>
    </w:tbl>
    <w:p>
      <w:pPr>
        <w:spacing w:after="120" w:before="0"/>
      </w:pPr>
      <w:r>
        <w:rPr>
          <w:sz w:val="22"/>
          <w:szCs w:val="22"/>
        </w:rPr>
        <w:t xml:space="preserve"/>
      </w:r>
    </w:p>
    <w:p>
      <w:pPr>
        <w:spacing w:after="120" w:before="0"/>
      </w:pPr>
      <w:r>
        <w:rPr>
          <w:sz w:val="22"/>
          <w:szCs w:val="22"/>
        </w:rPr>
        <w:t xml:space="preserve">Two conclusions are visible in that table. Requests after the change carry a single domain-specific approver rather than a fixed trio, and the hardcoded data.steward account no longer appears.</w:t>
      </w:r>
    </w:p>
    <w:p>
      <w:pPr>
        <w:pStyle w:val="Heading1"/>
        <w:spacing w:after="140" w:before="280"/>
      </w:pPr>
      <w:r>
        <w:rPr>
          <w:b/>
          <w:bCs/>
          <w:color w:val="1F4E79"/>
        </w:rPr>
        <w:t xml:space="preserve">8. Limitations and things to watch</w:t>
      </w:r>
    </w:p>
    <w:p>
      <w:pPr>
        <w:pStyle w:val="ListParagraph"/>
        <w:numPr>
          <w:ilvl w:val="0"/>
          <w:numId w:val="2"/>
        </w:numPr>
        <w:spacing w:after="80"/>
      </w:pPr>
      <w:r>
        <w:rPr>
          <w:sz w:val="22"/>
          <w:szCs w:val="22"/>
        </w:rPr>
        <w:t xml:space="preserve">A dataset with no domain, or a domain with no Data Steward, resolves to no approver at all. Seven domain-assigned datasets and 470 domainless datasets are currently in that position. Avoid demonstrating on those.</w:t>
      </w:r>
    </w:p>
    <w:p>
      <w:pPr>
        <w:pStyle w:val="ListParagraph"/>
        <w:numPr>
          <w:ilvl w:val="0"/>
          <w:numId w:val="2"/>
        </w:numPr>
        <w:spacing w:after="80"/>
      </w:pPr>
      <w:r>
        <w:rPr>
          <w:sz w:val="22"/>
          <w:szCs w:val="22"/>
        </w:rPr>
        <w:t xml:space="preserve">Adding a second steward to a domain widens the audience for that domain. After the demo above, Finance Division has two stewards, so repeating Step 1 will no longer exclude you until one is removed.</w:t>
      </w:r>
    </w:p>
    <w:p>
      <w:pPr>
        <w:pStyle w:val="ListParagraph"/>
        <w:numPr>
          <w:ilvl w:val="0"/>
          <w:numId w:val="2"/>
        </w:numPr>
        <w:spacing w:after="80"/>
      </w:pPr>
      <w:r>
        <w:rPr>
          <w:sz w:val="22"/>
          <w:szCs w:val="22"/>
        </w:rPr>
        <w:t xml:space="preserve">The corp group urn:li:corpGroup:6bb71640-29ce-4bd3-932c-9846458008af (display name “Data Stewards”) does not exist as an entity — entityExists returns false. It retains membership edges, so it appears in some views, but it cannot be used as an owner and DataHub rejects the attempt. Any workflow assigning it should be reviewed.</w:t>
      </w:r>
    </w:p>
    <w:p>
      <w:pPr>
        <w:pStyle w:val="ListParagraph"/>
        <w:numPr>
          <w:ilvl w:val="0"/>
          <w:numId w:val="2"/>
        </w:numPr>
        <w:spacing w:after="80"/>
      </w:pPr>
      <w:r>
        <w:rPr>
          <w:sz w:val="22"/>
          <w:szCs w:val="22"/>
        </w:rPr>
        <w:t xml:space="preserve">The Dataset Access Request form can also be launched from Home rather than a dataset profile. Domain resolution needs a launching entity. All 23 historical requests carried one, so no failure was observed, but the path has not been explicitly tested.</w:t>
      </w:r>
    </w:p>
    <w:p>
      <w:pPr>
        <w:pStyle w:val="ListParagraph"/>
        <w:numPr>
          <w:ilvl w:val="0"/>
          <w:numId w:val="2"/>
        </w:numPr>
        <w:spacing w:after="80"/>
      </w:pPr>
      <w:r>
        <w:rPr>
          <w:sz w:val="22"/>
          <w:szCs w:val="22"/>
        </w:rPr>
        <w:t xml:space="preserve">Definitions exported by fetch_action_workflows.py cannot be re-submitted unmodified: the server derives filterCondition (v2) from condition (v1), returns both, and then rejects input containing both. The derived value must be omitted.</w:t>
      </w:r>
    </w:p>
    <w:p>
      <w:pPr>
        <w:pStyle w:val="Heading1"/>
        <w:spacing w:after="140" w:before="280"/>
      </w:pPr>
      <w:r>
        <w:rPr>
          <w:b/>
          <w:bCs/>
          <w:color w:val="1F4E79"/>
        </w:rPr>
        <w:t xml:space="preserve">9.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80"/>
              <w:left w:type="dxa" w:w="120"/>
              <w:bottom w:type="dxa" w:w="80"/>
              <w:right w:type="dxa" w:w="120"/>
            </w:tcMar>
          </w:tcPr>
          <w:p>
            <w:pPr>
              <w:spacing w:after="0"/>
            </w:pPr>
            <w:r>
              <w:rPr>
                <w:b/>
                <w:bCs/>
                <w:sz w:val="19"/>
                <w:szCs w:val="19"/>
              </w:rPr>
              <w:t xml:space="preserve">Item</w:t>
            </w:r>
          </w:p>
        </w:tc>
        <w:tc>
          <w:tcPr>
            <w:tcW w:type="dxa" w:w="6960"/>
            <w:shd w:fill="DCE6F1" w:val="clear"/>
            <w:tcMar>
              <w:top w:type="dxa" w:w="80"/>
              <w:left w:type="dxa" w:w="120"/>
              <w:bottom w:type="dxa" w:w="80"/>
              <w:right w:type="dxa" w:w="120"/>
            </w:tcMar>
          </w:tcPr>
          <w:p>
            <w:pPr>
              <w:spacing w:after="0"/>
            </w:pPr>
            <w:r>
              <w:rPr>
                <w:b/>
                <w:bCs/>
                <w:sz w:val="19"/>
                <w:szCs w:val="19"/>
              </w:rPr>
              <w:t xml:space="preserve">Value</w:t>
            </w:r>
          </w:p>
        </w:tc>
      </w:tr>
      <w:tr>
        <w:tc>
          <w:tcPr>
            <w:tcW w:type="dxa" w:w="2400"/>
            <w:tcMar>
              <w:top w:type="dxa" w:w="80"/>
              <w:left w:type="dxa" w:w="120"/>
              <w:bottom w:type="dxa" w:w="80"/>
              <w:right w:type="dxa" w:w="120"/>
            </w:tcMar>
          </w:tcPr>
          <w:p>
            <w:pPr>
              <w:spacing w:after="0"/>
            </w:pPr>
            <w:r>
              <w:rPr>
                <w:b w:val="false"/>
                <w:bCs w:val="false"/>
                <w:sz w:val="19"/>
                <w:szCs w:val="19"/>
              </w:rPr>
              <w:t xml:space="preserve">Workflow</w:t>
            </w:r>
          </w:p>
        </w:tc>
        <w:tc>
          <w:tcPr>
            <w:tcW w:type="dxa" w:w="6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urn:li:actionWorkflow:7110b19c-45b9-4450-b8bb-ba47d9f522ba</w:t>
            </w:r>
          </w:p>
        </w:tc>
      </w:tr>
      <w:tr>
        <w:tc>
          <w:tcPr>
            <w:tcW w:type="dxa" w:w="2400"/>
            <w:tcMar>
              <w:top w:type="dxa" w:w="80"/>
              <w:left w:type="dxa" w:w="120"/>
              <w:bottom w:type="dxa" w:w="80"/>
              <w:right w:type="dxa" w:w="120"/>
            </w:tcMar>
          </w:tcPr>
          <w:p>
            <w:pPr>
              <w:spacing w:after="0"/>
            </w:pPr>
            <w:r>
              <w:rPr>
                <w:b w:val="false"/>
                <w:bCs w:val="false"/>
                <w:sz w:val="19"/>
                <w:szCs w:val="19"/>
              </w:rPr>
              <w:t xml:space="preserve">Definition in repo</w:t>
            </w:r>
          </w:p>
        </w:tc>
        <w:tc>
          <w:tcPr>
            <w:tcW w:type="dxa" w:w="6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workflows/definitions/action-workflow-dataset-access-request_v2.json</w:t>
            </w:r>
          </w:p>
        </w:tc>
      </w:tr>
      <w:tr>
        <w:tc>
          <w:tcPr>
            <w:tcW w:type="dxa" w:w="2400"/>
            <w:tcMar>
              <w:top w:type="dxa" w:w="80"/>
              <w:left w:type="dxa" w:w="120"/>
              <w:bottom w:type="dxa" w:w="80"/>
              <w:right w:type="dxa" w:w="120"/>
            </w:tcMar>
          </w:tcPr>
          <w:p>
            <w:pPr>
              <w:spacing w:after="0"/>
            </w:pPr>
            <w:r>
              <w:rPr>
                <w:b w:val="false"/>
                <w:bCs w:val="false"/>
                <w:sz w:val="19"/>
                <w:szCs w:val="19"/>
              </w:rPr>
              <w:t xml:space="preserve">Validation helper</w:t>
            </w:r>
          </w:p>
        </w:tc>
        <w:tc>
          <w:tcPr>
            <w:tcW w:type="dxa" w:w="6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workflows/definitions/show_request_assignees.py</w:t>
            </w:r>
          </w:p>
        </w:tc>
      </w:tr>
      <w:tr>
        <w:tc>
          <w:tcPr>
            <w:tcW w:type="dxa" w:w="2400"/>
            <w:tcMar>
              <w:top w:type="dxa" w:w="80"/>
              <w:left w:type="dxa" w:w="120"/>
              <w:bottom w:type="dxa" w:w="80"/>
              <w:right w:type="dxa" w:w="120"/>
            </w:tcMar>
          </w:tcPr>
          <w:p>
            <w:pPr>
              <w:spacing w:after="0"/>
            </w:pPr>
            <w:r>
              <w:rPr>
                <w:b w:val="false"/>
                <w:bCs w:val="false"/>
                <w:sz w:val="19"/>
                <w:szCs w:val="19"/>
              </w:rPr>
              <w:t xml:space="preserve">Deploy command</w:t>
            </w:r>
          </w:p>
        </w:tc>
        <w:tc>
          <w:tcPr>
            <w:tcW w:type="dxa" w:w="6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upsert_workflows.py --server $DATAHUB_GMS_URL --token-env DATAHUB_GMS_TOKEN --file &lt;definition&gt;</w:t>
            </w:r>
          </w:p>
        </w:tc>
      </w:tr>
      <w:tr>
        <w:tc>
          <w:tcPr>
            <w:tcW w:type="dxa" w:w="2400"/>
            <w:tcMar>
              <w:top w:type="dxa" w:w="80"/>
              <w:left w:type="dxa" w:w="120"/>
              <w:bottom w:type="dxa" w:w="80"/>
              <w:right w:type="dxa" w:w="120"/>
            </w:tcMar>
          </w:tcPr>
          <w:p>
            <w:pPr>
              <w:spacing w:after="0"/>
            </w:pPr>
            <w:r>
              <w:rPr>
                <w:b w:val="false"/>
                <w:bCs w:val="false"/>
                <w:sz w:val="19"/>
                <w:szCs w:val="19"/>
              </w:rPr>
              <w:t xml:space="preserve">Ownership type used</w:t>
            </w:r>
          </w:p>
        </w:tc>
        <w:tc>
          <w:tcPr>
            <w:tcW w:type="dxa" w:w="6960"/>
            <w:tcMar>
              <w:top w:type="dxa" w:w="80"/>
              <w:left w:type="dxa" w:w="120"/>
              <w:bottom w:type="dxa" w:w="80"/>
              <w:right w:type="dxa" w:w="120"/>
            </w:tcMar>
          </w:tcPr>
          <w:p>
            <w:pPr>
              <w:spacing w:after="0"/>
            </w:pPr>
            <w:r>
              <w:rPr>
                <w:rFonts w:ascii="Consolas" w:cs="Consolas" w:eastAsia="Consolas" w:hAnsi="Consolas"/>
                <w:b w:val="false"/>
                <w:bCs w:val="false"/>
                <w:sz w:val="19"/>
                <w:szCs w:val="19"/>
              </w:rPr>
              <w:t xml:space="preserve">urn:li:ownershipType:__system__data_steward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2026-09-23T01:51:57.209Z</dcterms:created>
  <dcterms:modified xsi:type="dcterms:W3CDTF">2026-09-23T01:51:57.210Z</dcterms:modified>
</cp:coreProperties>
</file>

<file path=docProps/custom.xml><?xml version="1.0" encoding="utf-8"?>
<Properties xmlns="http://schemas.openxmlformats.org/officeDocument/2006/custom-properties" xmlns:vt="http://schemas.openxmlformats.org/officeDocument/2006/docPropsVTypes"/>
</file>