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2BA44" w14:textId="77777777" w:rsidR="008729D0" w:rsidRPr="00933373" w:rsidRDefault="008729D0" w:rsidP="008729D0">
      <w:pPr>
        <w:ind w:right="49"/>
        <w:jc w:val="right"/>
        <w:outlineLvl w:val="0"/>
        <w:rPr>
          <w:rFonts w:ascii="Helvetica" w:hAnsi="Helvetica"/>
          <w:smallCaps/>
        </w:rPr>
      </w:pPr>
      <w:r w:rsidRPr="00933373">
        <w:rPr>
          <w:rFonts w:ascii="Helvetica" w:hAnsi="Helvetica"/>
          <w:b/>
          <w:noProof/>
        </w:rPr>
        <w:drawing>
          <wp:anchor distT="0" distB="0" distL="114300" distR="114300" simplePos="0" relativeHeight="251659264" behindDoc="0" locked="0" layoutInCell="1" allowOverlap="1" wp14:anchorId="45DA8555" wp14:editId="6B39F401">
            <wp:simplePos x="0" y="0"/>
            <wp:positionH relativeFrom="column">
              <wp:posOffset>1905</wp:posOffset>
            </wp:positionH>
            <wp:positionV relativeFrom="paragraph">
              <wp:posOffset>1905</wp:posOffset>
            </wp:positionV>
            <wp:extent cx="901700" cy="86458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Stacked Logo_Black_v1_160215.png"/>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r="75025"/>
                    <a:stretch/>
                  </pic:blipFill>
                  <pic:spPr bwMode="auto">
                    <a:xfrm>
                      <a:off x="0" y="0"/>
                      <a:ext cx="901700" cy="864583"/>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3373">
        <w:rPr>
          <w:rFonts w:ascii="Helvetica" w:hAnsi="Helvetica"/>
          <w:smallCaps/>
        </w:rPr>
        <w:t xml:space="preserve">Gergana </w:t>
      </w:r>
      <w:proofErr w:type="spellStart"/>
      <w:r w:rsidRPr="00933373">
        <w:rPr>
          <w:rFonts w:ascii="Helvetica" w:hAnsi="Helvetica"/>
          <w:smallCaps/>
        </w:rPr>
        <w:t>Daskalova</w:t>
      </w:r>
      <w:proofErr w:type="spellEnd"/>
    </w:p>
    <w:p w14:paraId="571079D9" w14:textId="77777777" w:rsidR="008729D0" w:rsidRPr="00933373" w:rsidRDefault="008729D0" w:rsidP="008729D0">
      <w:pPr>
        <w:ind w:right="49"/>
        <w:jc w:val="right"/>
        <w:outlineLvl w:val="0"/>
        <w:rPr>
          <w:rFonts w:ascii="Helvetica" w:hAnsi="Helvetica"/>
          <w:smallCaps/>
        </w:rPr>
      </w:pPr>
      <w:r w:rsidRPr="00933373">
        <w:rPr>
          <w:rFonts w:ascii="Helvetica" w:hAnsi="Helvetica"/>
          <w:smallCaps/>
        </w:rPr>
        <w:t>The University of Edinburgh |</w:t>
      </w:r>
      <w:r w:rsidRPr="00933373">
        <w:rPr>
          <w:rFonts w:ascii="Helvetica" w:hAnsi="Helvetica"/>
          <w:smallCaps/>
          <w:color w:val="000080"/>
        </w:rPr>
        <w:t xml:space="preserve"> </w:t>
      </w:r>
      <w:r w:rsidRPr="00933373">
        <w:rPr>
          <w:rFonts w:ascii="Helvetica" w:hAnsi="Helvetica"/>
          <w:smallCaps/>
        </w:rPr>
        <w:t>School</w:t>
      </w:r>
      <w:r w:rsidRPr="00933373">
        <w:rPr>
          <w:rFonts w:ascii="Helvetica" w:hAnsi="Helvetica"/>
        </w:rPr>
        <w:t xml:space="preserve"> of </w:t>
      </w:r>
      <w:proofErr w:type="spellStart"/>
      <w:r w:rsidRPr="00933373">
        <w:rPr>
          <w:rFonts w:ascii="Helvetica" w:hAnsi="Helvetica"/>
          <w:smallCaps/>
        </w:rPr>
        <w:t>GeoSciences</w:t>
      </w:r>
      <w:proofErr w:type="spellEnd"/>
    </w:p>
    <w:p w14:paraId="2E1F6E0C" w14:textId="77777777" w:rsidR="008729D0" w:rsidRPr="00933373" w:rsidRDefault="008729D0" w:rsidP="008729D0">
      <w:pPr>
        <w:ind w:right="49"/>
        <w:jc w:val="right"/>
        <w:rPr>
          <w:rFonts w:ascii="Helvetica" w:hAnsi="Helvetica"/>
        </w:rPr>
      </w:pPr>
      <w:r w:rsidRPr="00933373">
        <w:rPr>
          <w:rFonts w:ascii="Helvetica" w:hAnsi="Helvetica"/>
          <w:i/>
        </w:rPr>
        <w:t>Crew Building, The King’s Buildings, Edinburgh EH9</w:t>
      </w:r>
      <w:r w:rsidRPr="00933373">
        <w:rPr>
          <w:rFonts w:ascii="Helvetica" w:hAnsi="Helvetica"/>
        </w:rPr>
        <w:t xml:space="preserve"> 3FF</w:t>
      </w:r>
    </w:p>
    <w:p w14:paraId="06CD91A3" w14:textId="77777777" w:rsidR="008729D0" w:rsidRPr="00933373" w:rsidRDefault="008729D0" w:rsidP="008729D0">
      <w:pPr>
        <w:ind w:right="49"/>
        <w:jc w:val="right"/>
        <w:rPr>
          <w:rFonts w:ascii="Helvetica" w:hAnsi="Helvetica"/>
          <w:i/>
        </w:rPr>
      </w:pPr>
      <w:r w:rsidRPr="00933373">
        <w:rPr>
          <w:rFonts w:ascii="Helvetica" w:hAnsi="Helvetica"/>
          <w:i/>
        </w:rPr>
        <w:t xml:space="preserve">Telephone: +44 7946 274522 </w:t>
      </w:r>
      <w:r w:rsidRPr="00933373">
        <w:rPr>
          <w:rFonts w:ascii="Helvetica" w:hAnsi="Helvetica"/>
          <w:i/>
          <w:color w:val="000000" w:themeColor="text1"/>
        </w:rPr>
        <w:t>Email:</w:t>
      </w:r>
      <w:r w:rsidRPr="00933373">
        <w:rPr>
          <w:rFonts w:ascii="Helvetica" w:hAnsi="Helvetica"/>
          <w:i/>
          <w:color w:val="000080"/>
        </w:rPr>
        <w:t xml:space="preserve"> </w:t>
      </w:r>
      <w:hyperlink r:id="rId9" w:history="1">
        <w:r w:rsidRPr="00933373">
          <w:rPr>
            <w:rStyle w:val="Hyperlink"/>
            <w:rFonts w:ascii="Helvetica" w:hAnsi="Helvetica"/>
            <w:i/>
            <w:color w:val="0070C0"/>
          </w:rPr>
          <w:t>gndaskalova@gmail.com</w:t>
        </w:r>
      </w:hyperlink>
    </w:p>
    <w:p w14:paraId="1758D470" w14:textId="005591C8" w:rsidR="008729D0" w:rsidRPr="00933373" w:rsidRDefault="008729D0" w:rsidP="008729D0">
      <w:pPr>
        <w:pStyle w:val="BodyText"/>
        <w:spacing w:after="0"/>
        <w:jc w:val="right"/>
        <w:rPr>
          <w:rFonts w:ascii="Helvetica" w:hAnsi="Helvetica"/>
        </w:rPr>
      </w:pPr>
      <w:r>
        <w:rPr>
          <w:rFonts w:ascii="Helvetica" w:hAnsi="Helvetica"/>
        </w:rPr>
        <w:t>23 July 2021</w:t>
      </w:r>
    </w:p>
    <w:p w14:paraId="65C22A8F" w14:textId="77777777" w:rsidR="008729D0" w:rsidRDefault="008729D0" w:rsidP="00CC0F9A">
      <w:pPr>
        <w:spacing w:line="360" w:lineRule="auto"/>
        <w:jc w:val="both"/>
        <w:rPr>
          <w:rFonts w:eastAsia="Roboto"/>
          <w:b/>
          <w:highlight w:val="white"/>
        </w:rPr>
      </w:pPr>
    </w:p>
    <w:p w14:paraId="6ED50959" w14:textId="77777777" w:rsidR="00C53C63" w:rsidRPr="00CC0F9A" w:rsidRDefault="004C057F" w:rsidP="00586DF4">
      <w:pPr>
        <w:spacing w:before="120" w:after="360" w:line="360" w:lineRule="auto"/>
        <w:jc w:val="both"/>
        <w:rPr>
          <w:rFonts w:eastAsia="Helvetica Neue"/>
        </w:rPr>
      </w:pPr>
      <w:r w:rsidRPr="00CC0F9A">
        <w:rPr>
          <w:rFonts w:eastAsia="Helvetica Neue"/>
        </w:rPr>
        <w:t>Dear Nature Ecology and Evolution editorial board,</w:t>
      </w:r>
    </w:p>
    <w:p w14:paraId="7DD48B45" w14:textId="757B43EB" w:rsidR="00C53C63" w:rsidRPr="00CC0F9A" w:rsidRDefault="008729D0" w:rsidP="00586DF4">
      <w:pPr>
        <w:spacing w:before="120" w:after="360" w:line="360" w:lineRule="auto"/>
        <w:jc w:val="both"/>
        <w:rPr>
          <w:rFonts w:eastAsia="Helvetica Neue"/>
        </w:rPr>
      </w:pPr>
      <w:r w:rsidRPr="008729D0">
        <w:rPr>
          <w:rFonts w:eastAsia="Helvetica Neue"/>
          <w:lang w:val="en-GB"/>
        </w:rPr>
        <w:t xml:space="preserve">We would like to submit for your consideration </w:t>
      </w:r>
      <w:r>
        <w:rPr>
          <w:rFonts w:eastAsia="Helvetica Neue"/>
          <w:lang w:val="en-GB"/>
        </w:rPr>
        <w:t xml:space="preserve">as a </w:t>
      </w:r>
      <w:r w:rsidRPr="008729D0">
        <w:rPr>
          <w:rFonts w:eastAsia="Helvetica Neue"/>
          <w:i/>
          <w:iCs/>
          <w:lang w:val="en-GB"/>
        </w:rPr>
        <w:t>Perspective</w:t>
      </w:r>
      <w:r>
        <w:rPr>
          <w:rFonts w:eastAsia="Helvetica Neue"/>
          <w:lang w:val="en-GB"/>
        </w:rPr>
        <w:t xml:space="preserve"> </w:t>
      </w:r>
      <w:r w:rsidRPr="008729D0">
        <w:rPr>
          <w:rFonts w:eastAsia="Helvetica Neue"/>
          <w:lang w:val="en-GB"/>
        </w:rPr>
        <w:t>our manuscript:</w:t>
      </w:r>
      <w:r w:rsidRPr="008729D0">
        <w:rPr>
          <w:rFonts w:eastAsia="Helvetica Neue"/>
        </w:rPr>
        <w:t xml:space="preserve"> </w:t>
      </w:r>
      <w:r w:rsidR="004C057F" w:rsidRPr="00CC0F9A">
        <w:rPr>
          <w:rFonts w:eastAsia="Helvetica Neue"/>
        </w:rPr>
        <w:t xml:space="preserve">“Representation of global change drivers across biodiversity datasets”. </w:t>
      </w:r>
    </w:p>
    <w:p w14:paraId="5DEFE4A7" w14:textId="3FFF83C9" w:rsidR="00C53C63" w:rsidRPr="00CC0F9A" w:rsidRDefault="004C057F" w:rsidP="00586DF4">
      <w:pPr>
        <w:spacing w:before="120" w:after="360" w:line="360" w:lineRule="auto"/>
        <w:jc w:val="both"/>
      </w:pPr>
      <w:r w:rsidRPr="00CC0F9A">
        <w:rPr>
          <w:rFonts w:eastAsia="Helvetica Neue"/>
        </w:rPr>
        <w:t>Large-scale compilations of biodiversity data are increasingly being used to quantify the impacts of human activities on Earth’s biodiversity. Such data are also often the foundation of national and international biodiversity indicators for conservation decision-making</w:t>
      </w:r>
      <w:r w:rsidR="00B072BA">
        <w:rPr>
          <w:rFonts w:eastAsia="Helvetica Neue"/>
        </w:rPr>
        <w:t>,</w:t>
      </w:r>
      <w:r w:rsidRPr="00CC0F9A">
        <w:rPr>
          <w:rFonts w:eastAsia="Helvetica Neue"/>
        </w:rPr>
        <w:t xml:space="preserve"> such as the post-2020 global biodiversity framework of the Convention on Biological Diversity that will be agreed upon in October of this year at COP-15. While the implications of geographic and taxonomic biases in biodiversity data are commonly discussed, the scientific community has yet to recogni</w:t>
      </w:r>
      <w:r w:rsidR="000672C4" w:rsidRPr="00CC0F9A">
        <w:rPr>
          <w:rFonts w:eastAsia="Helvetica Neue"/>
        </w:rPr>
        <w:t>z</w:t>
      </w:r>
      <w:r w:rsidRPr="00CC0F9A">
        <w:rPr>
          <w:rFonts w:eastAsia="Helvetica Neue"/>
        </w:rPr>
        <w:t xml:space="preserve">e the multiple axes of data representation including global change driver intensity around the world. The big five drivers of global change are widely identified as habitat loss, climate change, pollution, exploitation and invasive species but it is far from clear whether these drivers are being sampled representatively. Yet, knowing to what degree the sampling sites within biodiversity databases captures global change is vital to interpret results derived from data syntheses and ensure global biodiversity indicators remain fit-for-purpose. </w:t>
      </w:r>
    </w:p>
    <w:p w14:paraId="5723CDFB" w14:textId="09834AA5" w:rsidR="00C53C63" w:rsidRPr="00CC0F9A" w:rsidRDefault="004C057F" w:rsidP="00586DF4">
      <w:pPr>
        <w:spacing w:line="360" w:lineRule="auto"/>
        <w:jc w:val="both"/>
      </w:pPr>
      <w:r w:rsidRPr="00CC0F9A">
        <w:t xml:space="preserve">In our proposed </w:t>
      </w:r>
      <w:r w:rsidRPr="00CC0F9A">
        <w:rPr>
          <w:i/>
        </w:rPr>
        <w:t>Perspective</w:t>
      </w:r>
      <w:r w:rsidRPr="00CC0F9A">
        <w:t xml:space="preserve">, we develop the concept of global change space and how it can be used to improve inference from biodiversity syntheses, develop scenarios for future shifts in species composition as well as the target future data collection to fill gaps. We used data indicating the five big drivers and mapped the ‘global change space’ using the dominant orthogonal axes of change (similar to the concept of trait or niche space). We then quantified how much of this global change space is currently captured with existing global-scale terrestrial and marine biodiversity data from the Living Planet, </w:t>
      </w:r>
      <w:proofErr w:type="spellStart"/>
      <w:r w:rsidRPr="00CC0F9A">
        <w:t>BioTIME</w:t>
      </w:r>
      <w:proofErr w:type="spellEnd"/>
      <w:r w:rsidRPr="00CC0F9A">
        <w:t xml:space="preserve"> and PREDICTS databases, and further highlighted the gaps and their implications.</w:t>
      </w:r>
    </w:p>
    <w:p w14:paraId="13A204EE" w14:textId="77777777" w:rsidR="00C53C63" w:rsidRPr="00CC0F9A" w:rsidRDefault="00C53C63" w:rsidP="00586DF4">
      <w:pPr>
        <w:spacing w:line="360" w:lineRule="auto"/>
        <w:jc w:val="both"/>
      </w:pPr>
    </w:p>
    <w:p w14:paraId="49A3E3C5" w14:textId="46A3766C" w:rsidR="00C53C63" w:rsidRPr="00CC0F9A" w:rsidRDefault="004C057F" w:rsidP="00586DF4">
      <w:pPr>
        <w:spacing w:line="360" w:lineRule="auto"/>
        <w:jc w:val="both"/>
      </w:pPr>
      <w:r w:rsidRPr="00CC0F9A">
        <w:t xml:space="preserve">We believe that the broad relevance of our </w:t>
      </w:r>
      <w:r w:rsidRPr="00CC0F9A">
        <w:rPr>
          <w:i/>
        </w:rPr>
        <w:t>Perspective</w:t>
      </w:r>
      <w:r w:rsidRPr="00CC0F9A">
        <w:t xml:space="preserve"> and its timely implications for biodiversity policies and scenarios for future change, such as the partnership between IPBES and IPCC, </w:t>
      </w:r>
      <w:r w:rsidRPr="00CC0F9A">
        <w:lastRenderedPageBreak/>
        <w:t xml:space="preserve">make our work suitable for Nature Ecology and Evolution. </w:t>
      </w:r>
      <w:r w:rsidR="00584D77" w:rsidRPr="00584D77">
        <w:t>Below we include a referenced summary paragraph as well further details on suitability for Nature Ecology and Evolution.</w:t>
      </w:r>
    </w:p>
    <w:p w14:paraId="2F65D715" w14:textId="5F972F44" w:rsidR="00C53C63" w:rsidRDefault="00C53C63" w:rsidP="00586DF4">
      <w:pPr>
        <w:spacing w:line="360" w:lineRule="auto"/>
        <w:jc w:val="both"/>
      </w:pPr>
    </w:p>
    <w:p w14:paraId="45FD2D5A" w14:textId="60B78105" w:rsidR="008729D0" w:rsidRPr="00584D77" w:rsidRDefault="008729D0" w:rsidP="00586DF4">
      <w:pPr>
        <w:spacing w:line="360" w:lineRule="auto"/>
        <w:jc w:val="both"/>
        <w:rPr>
          <w:lang w:val="en-US"/>
        </w:rPr>
      </w:pPr>
      <w:r>
        <w:t>We suggest the following reviewers:</w:t>
      </w:r>
      <w:r w:rsidR="00584D77">
        <w:t xml:space="preserve"> </w:t>
      </w:r>
      <w:r w:rsidR="00584D77" w:rsidRPr="00584D77">
        <w:rPr>
          <w:lang w:val="en-US"/>
        </w:rPr>
        <w:t>Dan</w:t>
      </w:r>
      <w:r w:rsidR="00584D77">
        <w:rPr>
          <w:lang w:val="en-US"/>
        </w:rPr>
        <w:t>iel</w:t>
      </w:r>
      <w:r w:rsidR="00584D77" w:rsidRPr="00584D77">
        <w:rPr>
          <w:lang w:val="en-US"/>
        </w:rPr>
        <w:t xml:space="preserve"> Metcalf</w:t>
      </w:r>
      <w:r w:rsidR="00584D77">
        <w:rPr>
          <w:lang w:val="en-US"/>
        </w:rPr>
        <w:t xml:space="preserve"> (Umea University, </w:t>
      </w:r>
      <w:hyperlink r:id="rId10" w:history="1">
        <w:r w:rsidR="00584D77" w:rsidRPr="00584D77">
          <w:rPr>
            <w:rStyle w:val="Hyperlink"/>
            <w:lang w:val="en-US"/>
          </w:rPr>
          <w:t>daniel.metcalfe@umu.se</w:t>
        </w:r>
      </w:hyperlink>
      <w:r w:rsidR="00584D77">
        <w:rPr>
          <w:lang w:val="en-US"/>
        </w:rPr>
        <w:t>), Jonathan Lenoir (</w:t>
      </w:r>
      <w:proofErr w:type="spellStart"/>
      <w:r w:rsidR="00584D77" w:rsidRPr="00584D77">
        <w:rPr>
          <w:lang w:val="en-US"/>
        </w:rPr>
        <w:t>Université</w:t>
      </w:r>
      <w:proofErr w:type="spellEnd"/>
      <w:r w:rsidR="00584D77" w:rsidRPr="00584D77">
        <w:rPr>
          <w:lang w:val="en-US"/>
        </w:rPr>
        <w:t xml:space="preserve"> de Picardie Jules Verne</w:t>
      </w:r>
      <w:r w:rsidR="00584D77">
        <w:rPr>
          <w:lang w:val="en-US"/>
        </w:rPr>
        <w:t xml:space="preserve">, </w:t>
      </w:r>
      <w:hyperlink r:id="rId11" w:history="1">
        <w:r w:rsidR="00584D77" w:rsidRPr="00FB7719">
          <w:rPr>
            <w:rStyle w:val="Hyperlink"/>
            <w:lang w:val="en-US"/>
          </w:rPr>
          <w:t>jonathan.lenoir@u-picardie.fr</w:t>
        </w:r>
      </w:hyperlink>
      <w:r w:rsidR="00584D77">
        <w:rPr>
          <w:lang w:val="en-US"/>
        </w:rPr>
        <w:t>) and Cristina Banks-</w:t>
      </w:r>
      <w:proofErr w:type="spellStart"/>
      <w:r w:rsidR="00584D77">
        <w:rPr>
          <w:lang w:val="en-US"/>
        </w:rPr>
        <w:t>Leite</w:t>
      </w:r>
      <w:proofErr w:type="spellEnd"/>
      <w:r w:rsidR="00584D77">
        <w:rPr>
          <w:lang w:val="en-US"/>
        </w:rPr>
        <w:t xml:space="preserve"> (Imperial College, </w:t>
      </w:r>
      <w:hyperlink r:id="rId12" w:history="1">
        <w:r w:rsidR="00584D77" w:rsidRPr="00FB7719">
          <w:rPr>
            <w:rStyle w:val="Hyperlink"/>
            <w:lang w:val="en-US"/>
          </w:rPr>
          <w:t>c.banks@imperial.ac.uk</w:t>
        </w:r>
      </w:hyperlink>
      <w:r w:rsidR="00584D77">
        <w:rPr>
          <w:lang w:val="en-US"/>
        </w:rPr>
        <w:t xml:space="preserve">). </w:t>
      </w:r>
      <w:bookmarkStart w:id="0" w:name="_GoBack"/>
      <w:bookmarkEnd w:id="0"/>
    </w:p>
    <w:p w14:paraId="7E630B32" w14:textId="38B1756D" w:rsidR="008729D0" w:rsidRDefault="008729D0" w:rsidP="00586DF4">
      <w:pPr>
        <w:spacing w:line="360" w:lineRule="auto"/>
        <w:jc w:val="both"/>
      </w:pPr>
    </w:p>
    <w:p w14:paraId="0AF29E9B" w14:textId="797CCB81" w:rsidR="008729D0" w:rsidRPr="00CC0F9A" w:rsidRDefault="008729D0" w:rsidP="00586DF4">
      <w:pPr>
        <w:spacing w:line="360" w:lineRule="auto"/>
        <w:jc w:val="both"/>
      </w:pPr>
      <w:r>
        <w:t xml:space="preserve">We confirm that our manuscript is not </w:t>
      </w:r>
      <w:r w:rsidRPr="008729D0">
        <w:rPr>
          <w:lang w:val="en-GB"/>
        </w:rPr>
        <w:t>concurrently submitted for publication in other peer-reviewed journals.</w:t>
      </w:r>
      <w:r>
        <w:rPr>
          <w:lang w:val="en-GB"/>
        </w:rPr>
        <w:t xml:space="preserve"> We plan to publish a pre-print of our manuscript on </w:t>
      </w:r>
      <w:proofErr w:type="spellStart"/>
      <w:r>
        <w:rPr>
          <w:lang w:val="en-GB"/>
        </w:rPr>
        <w:t>EcoEvoArxiv</w:t>
      </w:r>
      <w:proofErr w:type="spellEnd"/>
      <w:r>
        <w:rPr>
          <w:lang w:val="en-GB"/>
        </w:rPr>
        <w:t xml:space="preserve"> in the coming week.</w:t>
      </w:r>
    </w:p>
    <w:p w14:paraId="1C26658C" w14:textId="77777777" w:rsidR="00C53C63" w:rsidRPr="00CC0F9A" w:rsidRDefault="00C53C63" w:rsidP="00586DF4">
      <w:pPr>
        <w:spacing w:line="360" w:lineRule="auto"/>
        <w:jc w:val="both"/>
      </w:pPr>
    </w:p>
    <w:p w14:paraId="15B2B0A9" w14:textId="77777777" w:rsidR="008729D0" w:rsidRPr="008729D0" w:rsidRDefault="008729D0" w:rsidP="008729D0">
      <w:pPr>
        <w:spacing w:line="360" w:lineRule="auto"/>
        <w:jc w:val="both"/>
        <w:rPr>
          <w:lang w:val="en-GB"/>
        </w:rPr>
      </w:pPr>
      <w:r w:rsidRPr="008729D0">
        <w:rPr>
          <w:lang w:val="en-GB"/>
        </w:rPr>
        <w:t>Thank you for considering our manuscript for publication in Nature Ecology and Evolution.</w:t>
      </w:r>
    </w:p>
    <w:p w14:paraId="486983AB" w14:textId="77777777" w:rsidR="00C53C63" w:rsidRPr="00CC0F9A" w:rsidRDefault="004C057F" w:rsidP="00586DF4">
      <w:pPr>
        <w:spacing w:line="360" w:lineRule="auto"/>
        <w:jc w:val="both"/>
      </w:pPr>
      <w:r w:rsidRPr="00CC0F9A">
        <w:t xml:space="preserve">Gergana </w:t>
      </w:r>
      <w:proofErr w:type="spellStart"/>
      <w:r w:rsidRPr="00CC0F9A">
        <w:t>Daskalova</w:t>
      </w:r>
      <w:proofErr w:type="spellEnd"/>
      <w:r w:rsidRPr="00CC0F9A">
        <w:t xml:space="preserve"> on behalf of all co-authors</w:t>
      </w:r>
    </w:p>
    <w:p w14:paraId="12ED013A" w14:textId="77777777" w:rsidR="00C53C63" w:rsidRPr="00CC0F9A" w:rsidRDefault="00C53C63" w:rsidP="00CC0F9A">
      <w:pPr>
        <w:spacing w:line="360" w:lineRule="auto"/>
      </w:pPr>
    </w:p>
    <w:p w14:paraId="2954DA33" w14:textId="77777777" w:rsidR="00C53C63" w:rsidRPr="00CC0F9A" w:rsidRDefault="004C057F" w:rsidP="00CC0F9A">
      <w:pPr>
        <w:spacing w:line="360" w:lineRule="auto"/>
      </w:pPr>
      <w:r w:rsidRPr="00CC0F9A">
        <w:rPr>
          <w:noProof/>
        </w:rPr>
        <w:drawing>
          <wp:inline distT="114300" distB="114300" distL="114300" distR="114300" wp14:anchorId="0389EFD6" wp14:editId="5DC2A1BB">
            <wp:extent cx="1604963" cy="86583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604963" cy="865835"/>
                    </a:xfrm>
                    <a:prstGeom prst="rect">
                      <a:avLst/>
                    </a:prstGeom>
                    <a:ln/>
                  </pic:spPr>
                </pic:pic>
              </a:graphicData>
            </a:graphic>
          </wp:inline>
        </w:drawing>
      </w:r>
    </w:p>
    <w:p w14:paraId="37439EFC" w14:textId="64B587FF" w:rsidR="00C53C63" w:rsidRPr="00CC0F9A" w:rsidRDefault="004C057F" w:rsidP="00CC0F9A">
      <w:pPr>
        <w:spacing w:line="360" w:lineRule="auto"/>
      </w:pPr>
      <w:r w:rsidRPr="00CC0F9A">
        <w:t>2</w:t>
      </w:r>
      <w:r w:rsidR="008729D0">
        <w:t>3</w:t>
      </w:r>
      <w:r w:rsidRPr="00CC0F9A">
        <w:t xml:space="preserve"> Ju</w:t>
      </w:r>
      <w:r w:rsidR="008729D0">
        <w:t>ly</w:t>
      </w:r>
      <w:r w:rsidRPr="00CC0F9A">
        <w:t xml:space="preserve"> 2021</w:t>
      </w:r>
    </w:p>
    <w:p w14:paraId="3836F5D3" w14:textId="77777777" w:rsidR="00C53C63" w:rsidRPr="00CC0F9A" w:rsidRDefault="00C53C63" w:rsidP="00CC0F9A">
      <w:pPr>
        <w:spacing w:line="360" w:lineRule="auto"/>
      </w:pPr>
    </w:p>
    <w:p w14:paraId="149A6E66" w14:textId="2A524CF8" w:rsidR="00C53C63" w:rsidRPr="00CC0F9A" w:rsidRDefault="004C057F" w:rsidP="00CC0F9A">
      <w:pPr>
        <w:spacing w:line="360" w:lineRule="auto"/>
        <w:jc w:val="both"/>
        <w:rPr>
          <w:rFonts w:eastAsia="Helvetica Neue"/>
        </w:rPr>
      </w:pPr>
      <w:r w:rsidRPr="00CC0F9A">
        <w:rPr>
          <w:rFonts w:eastAsia="Helvetica Neue"/>
        </w:rPr>
        <w:t xml:space="preserve"> </w:t>
      </w:r>
    </w:p>
    <w:p w14:paraId="325F7FCA" w14:textId="14B6487B" w:rsidR="000672C4" w:rsidRPr="00CC0F9A" w:rsidRDefault="000672C4" w:rsidP="00CC0F9A">
      <w:pPr>
        <w:spacing w:line="360" w:lineRule="auto"/>
        <w:jc w:val="both"/>
        <w:rPr>
          <w:rFonts w:eastAsia="Helvetica Neue"/>
        </w:rPr>
      </w:pPr>
    </w:p>
    <w:p w14:paraId="30075B95" w14:textId="25512A80" w:rsidR="000672C4" w:rsidRPr="00CC0F9A" w:rsidRDefault="000672C4" w:rsidP="00CC0F9A">
      <w:pPr>
        <w:spacing w:line="360" w:lineRule="auto"/>
        <w:jc w:val="both"/>
        <w:rPr>
          <w:rFonts w:eastAsia="Helvetica Neue"/>
        </w:rPr>
      </w:pPr>
    </w:p>
    <w:p w14:paraId="35D837A5" w14:textId="42DB8D8B" w:rsidR="000672C4" w:rsidRPr="00CC0F9A" w:rsidRDefault="000672C4" w:rsidP="00CC0F9A">
      <w:pPr>
        <w:spacing w:line="360" w:lineRule="auto"/>
        <w:jc w:val="both"/>
        <w:rPr>
          <w:rFonts w:eastAsia="Helvetica Neue"/>
        </w:rPr>
      </w:pPr>
    </w:p>
    <w:p w14:paraId="7BD1F27F" w14:textId="4050ECA5" w:rsidR="000672C4" w:rsidRPr="00CC0F9A" w:rsidRDefault="000672C4" w:rsidP="00CC0F9A">
      <w:pPr>
        <w:spacing w:line="360" w:lineRule="auto"/>
        <w:jc w:val="both"/>
        <w:rPr>
          <w:rFonts w:eastAsia="Helvetica Neue"/>
        </w:rPr>
      </w:pPr>
    </w:p>
    <w:p w14:paraId="7B934F2D" w14:textId="5D517E5C" w:rsidR="000672C4" w:rsidRPr="00CC0F9A" w:rsidRDefault="000672C4" w:rsidP="00CC0F9A">
      <w:pPr>
        <w:spacing w:line="360" w:lineRule="auto"/>
        <w:jc w:val="both"/>
        <w:rPr>
          <w:rFonts w:eastAsia="Helvetica Neue"/>
        </w:rPr>
      </w:pPr>
    </w:p>
    <w:p w14:paraId="1A6989EF" w14:textId="5DDD48A0" w:rsidR="000672C4" w:rsidRPr="00CC0F9A" w:rsidRDefault="000672C4" w:rsidP="00CC0F9A">
      <w:pPr>
        <w:spacing w:line="360" w:lineRule="auto"/>
        <w:jc w:val="both"/>
        <w:rPr>
          <w:rFonts w:eastAsia="Helvetica Neue"/>
        </w:rPr>
      </w:pPr>
    </w:p>
    <w:p w14:paraId="0D3801D0" w14:textId="38AA3A51" w:rsidR="000672C4" w:rsidRPr="00CC0F9A" w:rsidRDefault="000672C4" w:rsidP="00CC0F9A">
      <w:pPr>
        <w:spacing w:line="360" w:lineRule="auto"/>
        <w:jc w:val="both"/>
        <w:rPr>
          <w:rFonts w:eastAsia="Helvetica Neue"/>
        </w:rPr>
      </w:pPr>
    </w:p>
    <w:p w14:paraId="758C0047" w14:textId="16F38F3E" w:rsidR="000672C4" w:rsidRPr="00CC0F9A" w:rsidRDefault="000672C4" w:rsidP="00CC0F9A">
      <w:pPr>
        <w:spacing w:line="360" w:lineRule="auto"/>
        <w:jc w:val="both"/>
        <w:rPr>
          <w:rFonts w:eastAsia="Helvetica Neue"/>
        </w:rPr>
      </w:pPr>
    </w:p>
    <w:p w14:paraId="18CB0349" w14:textId="3F49BF1E" w:rsidR="000672C4" w:rsidRPr="00CC0F9A" w:rsidRDefault="000672C4" w:rsidP="00CC0F9A">
      <w:pPr>
        <w:spacing w:line="360" w:lineRule="auto"/>
        <w:jc w:val="both"/>
        <w:rPr>
          <w:rFonts w:eastAsia="Helvetica Neue"/>
        </w:rPr>
      </w:pPr>
    </w:p>
    <w:p w14:paraId="7AFA6922" w14:textId="77777777" w:rsidR="00584D77" w:rsidRDefault="00584D77">
      <w:pPr>
        <w:rPr>
          <w:rFonts w:eastAsia="Roboto"/>
          <w:b/>
          <w:highlight w:val="white"/>
        </w:rPr>
      </w:pPr>
      <w:r>
        <w:rPr>
          <w:rFonts w:eastAsia="Roboto"/>
          <w:b/>
          <w:highlight w:val="white"/>
        </w:rPr>
        <w:br w:type="page"/>
      </w:r>
    </w:p>
    <w:p w14:paraId="0688122E" w14:textId="56F4735C" w:rsidR="000672C4" w:rsidRPr="00CC0F9A" w:rsidRDefault="000672C4" w:rsidP="00CC0F9A">
      <w:pPr>
        <w:spacing w:line="360" w:lineRule="auto"/>
        <w:jc w:val="both"/>
        <w:rPr>
          <w:rFonts w:eastAsia="Helvetica Neue"/>
          <w:b/>
        </w:rPr>
      </w:pPr>
      <w:r w:rsidRPr="00CC0F9A">
        <w:rPr>
          <w:rFonts w:eastAsia="Roboto"/>
          <w:b/>
          <w:highlight w:val="white"/>
        </w:rPr>
        <w:lastRenderedPageBreak/>
        <w:t>Representation of global change drivers across biodiversity datasets</w:t>
      </w:r>
    </w:p>
    <w:p w14:paraId="2D2E1141" w14:textId="77777777" w:rsidR="000672C4" w:rsidRPr="00CC0F9A" w:rsidRDefault="000672C4" w:rsidP="00CC0F9A">
      <w:pPr>
        <w:spacing w:before="120" w:after="360" w:line="360" w:lineRule="auto"/>
        <w:jc w:val="both"/>
        <w:rPr>
          <w:rFonts w:eastAsia="Helvetica Neue"/>
        </w:rPr>
      </w:pPr>
      <w:r w:rsidRPr="00CC0F9A">
        <w:rPr>
          <w:rFonts w:eastAsia="Helvetica Neue"/>
        </w:rPr>
        <w:t>Perspective piece written by Gergana N. Daskalova</w:t>
      </w:r>
      <w:r w:rsidRPr="00CC0F9A">
        <w:rPr>
          <w:rFonts w:eastAsia="Helvetica Neue"/>
          <w:vertAlign w:val="superscript"/>
        </w:rPr>
        <w:t>1</w:t>
      </w:r>
      <w:r w:rsidRPr="00CC0F9A">
        <w:rPr>
          <w:rFonts w:eastAsia="Helvetica Neue"/>
        </w:rPr>
        <w:t>*, Diana E. Bowler</w:t>
      </w:r>
      <w:r w:rsidRPr="00CC0F9A">
        <w:rPr>
          <w:rFonts w:eastAsia="Helvetica Neue"/>
          <w:vertAlign w:val="superscript"/>
        </w:rPr>
        <w:t>2</w:t>
      </w:r>
      <w:r w:rsidRPr="00CC0F9A">
        <w:rPr>
          <w:rFonts w:eastAsia="Helvetica Neue"/>
        </w:rPr>
        <w:t>, Isla H. Myers-Smith</w:t>
      </w:r>
      <w:r w:rsidRPr="00CC0F9A">
        <w:rPr>
          <w:rFonts w:eastAsia="Helvetica Neue"/>
          <w:vertAlign w:val="superscript"/>
        </w:rPr>
        <w:t>1</w:t>
      </w:r>
      <w:r w:rsidRPr="00CC0F9A">
        <w:rPr>
          <w:rFonts w:eastAsia="Helvetica Neue"/>
        </w:rPr>
        <w:t>, Maria Dornelas</w:t>
      </w:r>
      <w:r w:rsidRPr="00CC0F9A">
        <w:rPr>
          <w:rFonts w:eastAsia="Helvetica Neue"/>
          <w:vertAlign w:val="superscript"/>
        </w:rPr>
        <w:t>3</w:t>
      </w:r>
    </w:p>
    <w:p w14:paraId="5B58BA56" w14:textId="77777777" w:rsidR="000672C4" w:rsidRPr="00CC0F9A" w:rsidRDefault="000672C4" w:rsidP="00CC0F9A">
      <w:pPr>
        <w:spacing w:line="360" w:lineRule="auto"/>
        <w:rPr>
          <w:b/>
        </w:rPr>
      </w:pPr>
      <w:r w:rsidRPr="00CC0F9A">
        <w:rPr>
          <w:b/>
        </w:rPr>
        <w:t>Summary</w:t>
      </w:r>
    </w:p>
    <w:p w14:paraId="75F15945" w14:textId="77777777" w:rsidR="000672C4" w:rsidRPr="00CC0F9A" w:rsidRDefault="000672C4" w:rsidP="00CC0F9A">
      <w:pPr>
        <w:spacing w:line="360" w:lineRule="auto"/>
        <w:jc w:val="both"/>
        <w:rPr>
          <w:rFonts w:eastAsia="Helvetica Neue"/>
        </w:rPr>
      </w:pPr>
      <w:r w:rsidRPr="00CC0F9A">
        <w:rPr>
          <w:rFonts w:eastAsia="Helvetica Neue"/>
        </w:rPr>
        <w:t>An ecological data revolution is underway with more open-access data available now than ever before</w:t>
      </w:r>
      <w:r w:rsidRPr="00CC0F9A">
        <w:rPr>
          <w:rFonts w:eastAsia="Helvetica Neue"/>
          <w:vertAlign w:val="superscript"/>
        </w:rPr>
        <w:t>1–3</w:t>
      </w:r>
      <w:r w:rsidRPr="00CC0F9A">
        <w:rPr>
          <w:rFonts w:eastAsia="Helvetica Neue"/>
        </w:rPr>
        <w:t>. These data are instrumental to assess the consequences of the human activities on biotic communities across land and sea. Large-scale data compilations have been analyzed to test patterns of biodiversity change and impacts of anthropogenic drivers</w:t>
      </w:r>
      <w:r w:rsidRPr="00CC0F9A">
        <w:rPr>
          <w:rFonts w:eastAsia="Helvetica Neue"/>
          <w:vertAlign w:val="superscript"/>
        </w:rPr>
        <w:t>4–9</w:t>
      </w:r>
      <w:r w:rsidRPr="00CC0F9A">
        <w:rPr>
          <w:rFonts w:eastAsia="Helvetica Neue"/>
        </w:rPr>
        <w:t>, and to develop indicators for global conservation policies such as Essential Biodiversity Variables</w:t>
      </w:r>
      <w:r w:rsidRPr="00CC0F9A">
        <w:rPr>
          <w:rFonts w:eastAsia="Helvetica Neue"/>
          <w:vertAlign w:val="superscript"/>
        </w:rPr>
        <w:t>10</w:t>
      </w:r>
      <w:r w:rsidRPr="00CC0F9A">
        <w:rPr>
          <w:rFonts w:eastAsia="Helvetica Neue"/>
        </w:rPr>
        <w:t xml:space="preserve"> and the Convention on Biological Diversity’s Post-2020 Global Biodiversity Framework</w:t>
      </w:r>
      <w:r w:rsidRPr="00CC0F9A">
        <w:rPr>
          <w:rFonts w:eastAsia="Helvetica Neue"/>
          <w:vertAlign w:val="superscript"/>
        </w:rPr>
        <w:t>11,12</w:t>
      </w:r>
      <w:r w:rsidRPr="00CC0F9A">
        <w:rPr>
          <w:rFonts w:eastAsia="Helvetica Neue"/>
        </w:rPr>
        <w:t>. The biodiversity data underlying many of these syntheses have already been shown to be biased geographically and taxonomically</w:t>
      </w:r>
      <w:r w:rsidRPr="00CC0F9A">
        <w:rPr>
          <w:rFonts w:eastAsia="Helvetica Neue"/>
          <w:vertAlign w:val="superscript"/>
        </w:rPr>
        <w:t>13–16</w:t>
      </w:r>
      <w:r w:rsidRPr="00CC0F9A">
        <w:rPr>
          <w:rFonts w:eastAsia="Helvetica Neue"/>
        </w:rPr>
        <w:t>. Surprisingly, much less attention has been given to whether the data are also biased with respect to global change drivers, such as climate change and habitat change. Here, we present our perspective on the need to consider this new dimension of bias by quantifying the representativeness of biodiversity data in large-scale syntheses and discussing the implications for research interpretation and conservation policy. We linked three of the largest, open-access biodiversity databases (Living Planet</w:t>
      </w:r>
      <w:r w:rsidRPr="00CC0F9A">
        <w:rPr>
          <w:rFonts w:eastAsia="Helvetica Neue"/>
          <w:vertAlign w:val="superscript"/>
        </w:rPr>
        <w:t>17</w:t>
      </w:r>
      <w:r w:rsidRPr="00CC0F9A">
        <w:rPr>
          <w:rFonts w:eastAsia="Helvetica Neue"/>
        </w:rPr>
        <w:t>, BioTIME</w:t>
      </w:r>
      <w:r w:rsidRPr="00CC0F9A">
        <w:rPr>
          <w:rFonts w:eastAsia="Helvetica Neue"/>
          <w:vertAlign w:val="superscript"/>
        </w:rPr>
        <w:t>1</w:t>
      </w:r>
      <w:r w:rsidRPr="00CC0F9A">
        <w:rPr>
          <w:rFonts w:eastAsia="Helvetica Neue"/>
        </w:rPr>
        <w:t xml:space="preserve"> and PREDICTS</w:t>
      </w:r>
      <w:r w:rsidRPr="00CC0F9A">
        <w:rPr>
          <w:rFonts w:eastAsia="Helvetica Neue"/>
          <w:vertAlign w:val="superscript"/>
        </w:rPr>
        <w:t>2</w:t>
      </w:r>
      <w:r w:rsidRPr="00CC0F9A">
        <w:rPr>
          <w:rFonts w:eastAsia="Helvetica Neue"/>
        </w:rPr>
        <w:t>) with maps of global change drivers</w:t>
      </w:r>
      <w:r w:rsidRPr="00CC0F9A">
        <w:rPr>
          <w:rFonts w:eastAsia="Helvetica Neue"/>
          <w:vertAlign w:val="superscript"/>
        </w:rPr>
        <w:t>18</w:t>
      </w:r>
      <w:r w:rsidRPr="00CC0F9A">
        <w:rPr>
          <w:rFonts w:eastAsia="Helvetica Neue"/>
        </w:rPr>
        <w:t xml:space="preserve">. We focused on four aspects of representativeness – global change intensity over space, global change intensity over time, geography, and taxonomy. We found that global biodiversity datasets capture a large proportion of the intensity of global change, but not uniformly. Over space, existing data capture most of the spatial variance in global change drivers, but more so at sea than on land. Over time, monitoring often starts after the peak intensity in environmental change for drivers like primary forest loss, but more closely coincides with the period of rapid climate change. Our perspective serves two important purposes: 1) to highlight the variation in global change drivers that is already captured by global datasets and hence the driver impacts that we can quantify in current studies, and 2) to identify the gaps in data representativeness that future studies, monitoring and data mobilization actions should target. By making biodiversity databases more representative of multiple axes of natural and anthropogenic variation, we can improve estimates of the global state and trends of biodiversity and predict possible future scenarios.  </w:t>
      </w:r>
    </w:p>
    <w:p w14:paraId="46FA98B6" w14:textId="77777777" w:rsidR="000672C4" w:rsidRPr="00CC0F9A" w:rsidRDefault="000672C4" w:rsidP="00CC0F9A">
      <w:pPr>
        <w:spacing w:line="360" w:lineRule="auto"/>
        <w:jc w:val="both"/>
        <w:rPr>
          <w:rFonts w:eastAsia="Helvetica Neue"/>
        </w:rPr>
      </w:pPr>
    </w:p>
    <w:p w14:paraId="16C166A5" w14:textId="5ECC77F3" w:rsidR="000672C4" w:rsidRPr="00CC0F9A" w:rsidRDefault="000672C4" w:rsidP="00CC0F9A">
      <w:pPr>
        <w:spacing w:before="120" w:after="360" w:line="360" w:lineRule="auto"/>
        <w:jc w:val="both"/>
        <w:rPr>
          <w:rFonts w:eastAsia="Helvetica Neue"/>
        </w:rPr>
      </w:pPr>
      <w:r w:rsidRPr="00CC0F9A">
        <w:rPr>
          <w:rFonts w:eastAsia="Helvetica Neue"/>
          <w:b/>
        </w:rPr>
        <w:lastRenderedPageBreak/>
        <w:t>Interest of our work to a broad scientific readership and suitability for Nature Ecology and Evolution</w:t>
      </w:r>
      <w:r w:rsidRPr="00CC0F9A">
        <w:rPr>
          <w:rFonts w:eastAsia="Helvetica Neue"/>
          <w:b/>
        </w:rPr>
        <w:br/>
      </w:r>
      <w:r w:rsidRPr="00CC0F9A">
        <w:rPr>
          <w:rFonts w:eastAsia="Helvetica Neue"/>
        </w:rPr>
        <w:t xml:space="preserve">Biodiversity data gaps across variation in global change compromise the quantification of the impacts of anthropogenic drivers on biodiversity. Large-scale biodiversity databases are used to address a broad range of questions by scientists of multiple disciplines, including global change ecology, conservation, evolutionary biology and more. To interpret the findings of any data synthesis, including IPBES reports, scientists need to consider if the underlying data are sampled from sites over the range of real-world driver intensities, or rather are biased towards either heavily impacted sites or intact wilderness areas. We argue that understanding the representativeness of biodiversity data across global change axes is essential to interpret estimates of regional or global-scale biodiversity change based on biodiversity databases. With continued calls for more biodiversity data such as from the </w:t>
      </w:r>
      <w:proofErr w:type="spellStart"/>
      <w:r w:rsidRPr="00CC0F9A">
        <w:rPr>
          <w:rFonts w:eastAsia="Helvetica Neue"/>
        </w:rPr>
        <w:t>GeoBON</w:t>
      </w:r>
      <w:proofErr w:type="spellEnd"/>
      <w:r w:rsidRPr="00CC0F9A">
        <w:rPr>
          <w:rFonts w:eastAsia="Helvetica Neue"/>
        </w:rPr>
        <w:t xml:space="preserve"> initiative and the recent IPBES-IPCC co-sponsored workshop report on biodiversity and climate change, we advocate for a broader perspective on the design and synthesis of future ecological monitoring to target not just geographic gaps, but also underrepresentation of global change. We believe that our </w:t>
      </w:r>
      <w:r w:rsidRPr="00CC0F9A">
        <w:rPr>
          <w:rFonts w:eastAsia="Helvetica Neue"/>
          <w:i/>
        </w:rPr>
        <w:t>Perspective</w:t>
      </w:r>
      <w:r w:rsidRPr="00CC0F9A">
        <w:rPr>
          <w:rFonts w:eastAsia="Helvetica Neue"/>
        </w:rPr>
        <w:t xml:space="preserve"> will be of broad interest since it is relevant to not only people conducting data syntheses but also to those using the findings of such studies in reports like the IPBES-IPCC co-sponsored workshop report, policy making and conservation management. </w:t>
      </w:r>
    </w:p>
    <w:p w14:paraId="148B8A55" w14:textId="77777777" w:rsidR="000672C4" w:rsidRPr="00CC0F9A" w:rsidRDefault="000672C4" w:rsidP="00CC0F9A">
      <w:pPr>
        <w:spacing w:before="120" w:after="360" w:line="360" w:lineRule="auto"/>
        <w:jc w:val="both"/>
        <w:rPr>
          <w:rFonts w:eastAsia="Helvetica Neue"/>
          <w:b/>
        </w:rPr>
      </w:pPr>
      <w:r w:rsidRPr="00CC0F9A">
        <w:rPr>
          <w:rFonts w:eastAsia="Helvetica Neue"/>
          <w:b/>
        </w:rPr>
        <w:t>List of key findings</w:t>
      </w:r>
    </w:p>
    <w:p w14:paraId="48468FCF" w14:textId="77777777" w:rsidR="000672C4" w:rsidRPr="00CC0F9A" w:rsidRDefault="000672C4" w:rsidP="00CC0F9A">
      <w:pPr>
        <w:numPr>
          <w:ilvl w:val="0"/>
          <w:numId w:val="2"/>
        </w:numPr>
        <w:spacing w:before="120" w:line="360" w:lineRule="auto"/>
        <w:jc w:val="both"/>
        <w:rPr>
          <w:rFonts w:eastAsia="Helvetica Neue"/>
        </w:rPr>
      </w:pPr>
      <w:r w:rsidRPr="00CC0F9A">
        <w:rPr>
          <w:rFonts w:eastAsia="Helvetica Neue"/>
        </w:rPr>
        <w:t xml:space="preserve">We found that biodiversity data from the Living Planet, </w:t>
      </w:r>
      <w:proofErr w:type="spellStart"/>
      <w:r w:rsidRPr="00CC0F9A">
        <w:rPr>
          <w:rFonts w:eastAsia="Helvetica Neue"/>
        </w:rPr>
        <w:t>BioTIME</w:t>
      </w:r>
      <w:proofErr w:type="spellEnd"/>
      <w:r w:rsidRPr="00CC0F9A">
        <w:rPr>
          <w:rFonts w:eastAsia="Helvetica Neue"/>
        </w:rPr>
        <w:t xml:space="preserve"> and PREDICTS databases capture a surprisingly high amount of the spatial variation in global change intensity around the planet, especially in the marine realm (Figure 1, Additional materials).</w:t>
      </w:r>
    </w:p>
    <w:p w14:paraId="5607C320" w14:textId="77777777" w:rsidR="000672C4" w:rsidRPr="00CC0F9A" w:rsidRDefault="000672C4" w:rsidP="00CC0F9A">
      <w:pPr>
        <w:numPr>
          <w:ilvl w:val="0"/>
          <w:numId w:val="2"/>
        </w:numPr>
        <w:spacing w:line="360" w:lineRule="auto"/>
        <w:jc w:val="both"/>
        <w:rPr>
          <w:rFonts w:eastAsia="Helvetica Neue"/>
        </w:rPr>
      </w:pPr>
      <w:r w:rsidRPr="00CC0F9A">
        <w:rPr>
          <w:rFonts w:eastAsia="Helvetica Neue"/>
        </w:rPr>
        <w:t>Among the five global change drivers we tested, climate change and pollution in the marine realm were sampled the most representatively, suggesting that we can test the effects of these drivers with higher confidence and the underlying data could be used when creating global scenarios for the future (Figure 2, Additional materials).</w:t>
      </w:r>
    </w:p>
    <w:p w14:paraId="02D5950B" w14:textId="77777777" w:rsidR="000672C4" w:rsidRPr="00CC0F9A" w:rsidRDefault="000672C4" w:rsidP="00CC0F9A">
      <w:pPr>
        <w:numPr>
          <w:ilvl w:val="0"/>
          <w:numId w:val="2"/>
        </w:numPr>
        <w:spacing w:line="360" w:lineRule="auto"/>
        <w:jc w:val="both"/>
        <w:rPr>
          <w:rFonts w:eastAsia="Helvetica Neue"/>
        </w:rPr>
      </w:pPr>
      <w:r w:rsidRPr="00CC0F9A">
        <w:rPr>
          <w:rFonts w:eastAsia="Helvetica Neue"/>
        </w:rPr>
        <w:t xml:space="preserve">We found mismatches between when global change occurred and the timing of biodiversity data collection, which were more frequent for land-use change than for climate change (Figure 3, Additional materials). </w:t>
      </w:r>
    </w:p>
    <w:p w14:paraId="56C3887B" w14:textId="77777777" w:rsidR="000672C4" w:rsidRPr="00CC0F9A" w:rsidRDefault="000672C4" w:rsidP="00CC0F9A">
      <w:pPr>
        <w:numPr>
          <w:ilvl w:val="0"/>
          <w:numId w:val="2"/>
        </w:numPr>
        <w:spacing w:line="360" w:lineRule="auto"/>
        <w:jc w:val="both"/>
        <w:rPr>
          <w:rFonts w:eastAsia="Helvetica Neue"/>
        </w:rPr>
      </w:pPr>
      <w:r w:rsidRPr="00CC0F9A">
        <w:rPr>
          <w:rFonts w:eastAsia="Helvetica Neue"/>
        </w:rPr>
        <w:t>Underrepresentation in geographic space did not directly translate into gaps in global change space and thus an incomplete geographic sample can capture a surprising amount of variation in global change driver intensity (Figures 1-2, 4, Additional materials)</w:t>
      </w:r>
    </w:p>
    <w:p w14:paraId="2657CD73" w14:textId="77777777" w:rsidR="000672C4" w:rsidRPr="00CC0F9A" w:rsidRDefault="000672C4" w:rsidP="00CC0F9A">
      <w:pPr>
        <w:numPr>
          <w:ilvl w:val="0"/>
          <w:numId w:val="2"/>
        </w:numPr>
        <w:spacing w:after="360" w:line="360" w:lineRule="auto"/>
        <w:jc w:val="both"/>
        <w:rPr>
          <w:rFonts w:eastAsia="Helvetica Neue"/>
        </w:rPr>
      </w:pPr>
      <w:r w:rsidRPr="00CC0F9A">
        <w:rPr>
          <w:rFonts w:eastAsia="Helvetica Neue"/>
        </w:rPr>
        <w:lastRenderedPageBreak/>
        <w:t xml:space="preserve">We found that birds were the best-, and arthropods the worst-represented taxa across the Living Planet, </w:t>
      </w:r>
      <w:proofErr w:type="spellStart"/>
      <w:r w:rsidRPr="00CC0F9A">
        <w:rPr>
          <w:rFonts w:eastAsia="Helvetica Neue"/>
        </w:rPr>
        <w:t>BioTIME</w:t>
      </w:r>
      <w:proofErr w:type="spellEnd"/>
      <w:r w:rsidRPr="00CC0F9A">
        <w:rPr>
          <w:rFonts w:eastAsia="Helvetica Neue"/>
        </w:rPr>
        <w:t xml:space="preserve"> and PREDICTS databases (Figure 5, Additional materials).</w:t>
      </w:r>
    </w:p>
    <w:p w14:paraId="11717B70" w14:textId="77777777" w:rsidR="000672C4" w:rsidRPr="00CC0F9A" w:rsidRDefault="000672C4" w:rsidP="00CC0F9A">
      <w:pPr>
        <w:spacing w:line="360" w:lineRule="auto"/>
        <w:rPr>
          <w:rFonts w:eastAsia="Helvetica Neue"/>
        </w:rPr>
      </w:pPr>
    </w:p>
    <w:p w14:paraId="4999362D" w14:textId="77777777" w:rsidR="000672C4" w:rsidRPr="00CC0F9A" w:rsidRDefault="000672C4" w:rsidP="00CC0F9A">
      <w:pPr>
        <w:spacing w:line="360" w:lineRule="auto"/>
        <w:rPr>
          <w:b/>
        </w:rPr>
      </w:pPr>
      <w:r w:rsidRPr="00CC0F9A">
        <w:rPr>
          <w:b/>
        </w:rPr>
        <w:t>References</w:t>
      </w:r>
    </w:p>
    <w:p w14:paraId="15C048EC"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w:t>
      </w:r>
      <w:r w:rsidRPr="00CC0F9A">
        <w:tab/>
      </w:r>
      <w:proofErr w:type="spellStart"/>
      <w:r w:rsidRPr="00CC0F9A">
        <w:t>Dornelas</w:t>
      </w:r>
      <w:proofErr w:type="spellEnd"/>
      <w:r w:rsidRPr="00CC0F9A">
        <w:t xml:space="preserve">, M. </w:t>
      </w:r>
      <w:r w:rsidRPr="00CC0F9A">
        <w:rPr>
          <w:i/>
        </w:rPr>
        <w:t>et al.</w:t>
      </w:r>
      <w:r w:rsidRPr="00CC0F9A">
        <w:t xml:space="preserve"> </w:t>
      </w:r>
      <w:proofErr w:type="spellStart"/>
      <w:r w:rsidRPr="00CC0F9A">
        <w:t>BioTIME</w:t>
      </w:r>
      <w:proofErr w:type="spellEnd"/>
      <w:r w:rsidRPr="00CC0F9A">
        <w:t xml:space="preserve">: A database of biodiversity time series for the Anthropocene. </w:t>
      </w:r>
      <w:r w:rsidRPr="00CC0F9A">
        <w:rPr>
          <w:i/>
        </w:rPr>
        <w:t xml:space="preserve">Global Ecology and Biogeography </w:t>
      </w:r>
      <w:r w:rsidRPr="00CC0F9A">
        <w:rPr>
          <w:b/>
        </w:rPr>
        <w:t>27</w:t>
      </w:r>
      <w:r w:rsidRPr="00CC0F9A">
        <w:t>, 760–786 (2018).</w:t>
      </w:r>
    </w:p>
    <w:p w14:paraId="0CBA40C8"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2.</w:t>
      </w:r>
      <w:r w:rsidRPr="00CC0F9A">
        <w:tab/>
        <w:t xml:space="preserve">Hudson, L. N. </w:t>
      </w:r>
      <w:r w:rsidRPr="00CC0F9A">
        <w:rPr>
          <w:i/>
        </w:rPr>
        <w:t>et al.</w:t>
      </w:r>
      <w:r w:rsidRPr="00CC0F9A">
        <w:t xml:space="preserve"> The database of the PREDICTS (Projecting Responses of Ecological Diversity </w:t>
      </w:r>
      <w:proofErr w:type="gramStart"/>
      <w:r w:rsidRPr="00CC0F9A">
        <w:t>In</w:t>
      </w:r>
      <w:proofErr w:type="gramEnd"/>
      <w:r w:rsidRPr="00CC0F9A">
        <w:t xml:space="preserve"> Changing Terrestrial Systems) project. </w:t>
      </w:r>
      <w:r w:rsidRPr="00CC0F9A">
        <w:rPr>
          <w:i/>
        </w:rPr>
        <w:t xml:space="preserve">Ecology and Evolution </w:t>
      </w:r>
      <w:r w:rsidRPr="00CC0F9A">
        <w:rPr>
          <w:b/>
        </w:rPr>
        <w:t>7</w:t>
      </w:r>
      <w:r w:rsidRPr="00CC0F9A">
        <w:t>, 145–188 (2017).</w:t>
      </w:r>
    </w:p>
    <w:p w14:paraId="6053F13A"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3.</w:t>
      </w:r>
      <w:r w:rsidRPr="00CC0F9A">
        <w:tab/>
        <w:t>LPI. Living Planet Index database. (2016).</w:t>
      </w:r>
    </w:p>
    <w:p w14:paraId="0F5A1D3C"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4.</w:t>
      </w:r>
      <w:r w:rsidRPr="00CC0F9A">
        <w:tab/>
        <w:t>IPBES. Summary for policymakers of the global assessment report on biodiversity and ecosystem services of the Intergovernmental Science-Policy Platform on Biodiversity and Ecosystem Services. (2019).</w:t>
      </w:r>
    </w:p>
    <w:p w14:paraId="0F202E23"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5.</w:t>
      </w:r>
      <w:r w:rsidRPr="00CC0F9A">
        <w:tab/>
      </w:r>
      <w:proofErr w:type="spellStart"/>
      <w:r w:rsidRPr="00CC0F9A">
        <w:t>McCallen</w:t>
      </w:r>
      <w:proofErr w:type="spellEnd"/>
      <w:r w:rsidRPr="00CC0F9A">
        <w:t xml:space="preserve">, E. </w:t>
      </w:r>
      <w:r w:rsidRPr="00CC0F9A">
        <w:rPr>
          <w:i/>
        </w:rPr>
        <w:t>et al.</w:t>
      </w:r>
      <w:r w:rsidRPr="00CC0F9A">
        <w:t xml:space="preserve"> Trends in </w:t>
      </w:r>
      <w:proofErr w:type="gramStart"/>
      <w:r w:rsidRPr="00CC0F9A">
        <w:t>ecology:</w:t>
      </w:r>
      <w:proofErr w:type="gramEnd"/>
      <w:r w:rsidRPr="00CC0F9A">
        <w:t xml:space="preserve"> shifts in ecological research themes over the past four decades. </w:t>
      </w:r>
      <w:r w:rsidRPr="00CC0F9A">
        <w:rPr>
          <w:i/>
        </w:rPr>
        <w:t xml:space="preserve">Front </w:t>
      </w:r>
      <w:proofErr w:type="spellStart"/>
      <w:r w:rsidRPr="00CC0F9A">
        <w:rPr>
          <w:i/>
        </w:rPr>
        <w:t>Ecol</w:t>
      </w:r>
      <w:proofErr w:type="spellEnd"/>
      <w:r w:rsidRPr="00CC0F9A">
        <w:rPr>
          <w:i/>
        </w:rPr>
        <w:t xml:space="preserve"> Environ </w:t>
      </w:r>
      <w:r w:rsidRPr="00CC0F9A">
        <w:rPr>
          <w:b/>
        </w:rPr>
        <w:t>17</w:t>
      </w:r>
      <w:r w:rsidRPr="00CC0F9A">
        <w:t>, 109–116 (2019).</w:t>
      </w:r>
    </w:p>
    <w:p w14:paraId="6096B60D"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6.</w:t>
      </w:r>
      <w:r w:rsidRPr="00CC0F9A">
        <w:tab/>
      </w:r>
      <w:proofErr w:type="spellStart"/>
      <w:r w:rsidRPr="00CC0F9A">
        <w:t>Daskalova</w:t>
      </w:r>
      <w:proofErr w:type="spellEnd"/>
      <w:r w:rsidRPr="00CC0F9A">
        <w:t xml:space="preserve">, G. N. </w:t>
      </w:r>
      <w:r w:rsidRPr="00CC0F9A">
        <w:rPr>
          <w:i/>
        </w:rPr>
        <w:t>et al.</w:t>
      </w:r>
      <w:r w:rsidRPr="00CC0F9A">
        <w:t xml:space="preserve"> Landscape-scale forest loss as a catalyst of population and biodiversity change. </w:t>
      </w:r>
      <w:r w:rsidRPr="00CC0F9A">
        <w:rPr>
          <w:i/>
        </w:rPr>
        <w:t xml:space="preserve">Science </w:t>
      </w:r>
      <w:r w:rsidRPr="00CC0F9A">
        <w:rPr>
          <w:b/>
        </w:rPr>
        <w:t>368</w:t>
      </w:r>
      <w:r w:rsidRPr="00CC0F9A">
        <w:t>, 1341–1347 (2020).</w:t>
      </w:r>
    </w:p>
    <w:p w14:paraId="10D2F98D"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7.</w:t>
      </w:r>
      <w:r w:rsidRPr="00CC0F9A">
        <w:tab/>
      </w:r>
      <w:proofErr w:type="spellStart"/>
      <w:r w:rsidRPr="00CC0F9A">
        <w:t>Antão</w:t>
      </w:r>
      <w:proofErr w:type="spellEnd"/>
      <w:r w:rsidRPr="00CC0F9A">
        <w:t xml:space="preserve">, L. H. </w:t>
      </w:r>
      <w:r w:rsidRPr="00CC0F9A">
        <w:rPr>
          <w:i/>
        </w:rPr>
        <w:t>et al.</w:t>
      </w:r>
      <w:r w:rsidRPr="00CC0F9A">
        <w:t xml:space="preserve"> Temperature-related biodiversity change across temperate marine and terrestrial systems. </w:t>
      </w:r>
      <w:r w:rsidRPr="00CC0F9A">
        <w:rPr>
          <w:i/>
        </w:rPr>
        <w:t xml:space="preserve">Nat </w:t>
      </w:r>
      <w:proofErr w:type="spellStart"/>
      <w:r w:rsidRPr="00CC0F9A">
        <w:rPr>
          <w:i/>
        </w:rPr>
        <w:t>Ecol</w:t>
      </w:r>
      <w:proofErr w:type="spellEnd"/>
      <w:r w:rsidRPr="00CC0F9A">
        <w:rPr>
          <w:i/>
        </w:rPr>
        <w:t xml:space="preserve"> </w:t>
      </w:r>
      <w:proofErr w:type="spellStart"/>
      <w:r w:rsidRPr="00CC0F9A">
        <w:rPr>
          <w:i/>
        </w:rPr>
        <w:t>Evol</w:t>
      </w:r>
      <w:proofErr w:type="spellEnd"/>
      <w:r w:rsidRPr="00CC0F9A">
        <w:rPr>
          <w:i/>
        </w:rPr>
        <w:t xml:space="preserve"> </w:t>
      </w:r>
      <w:r w:rsidRPr="00CC0F9A">
        <w:rPr>
          <w:b/>
        </w:rPr>
        <w:t>4</w:t>
      </w:r>
      <w:r w:rsidRPr="00CC0F9A">
        <w:t>, 927–933 (2020).</w:t>
      </w:r>
    </w:p>
    <w:p w14:paraId="08BC4E1F"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8.</w:t>
      </w:r>
      <w:r w:rsidRPr="00CC0F9A">
        <w:tab/>
      </w:r>
      <w:proofErr w:type="spellStart"/>
      <w:r w:rsidRPr="00CC0F9A">
        <w:t>Millette</w:t>
      </w:r>
      <w:proofErr w:type="spellEnd"/>
      <w:r w:rsidRPr="00CC0F9A">
        <w:t xml:space="preserve">, K. L. </w:t>
      </w:r>
      <w:r w:rsidRPr="00CC0F9A">
        <w:rPr>
          <w:i/>
        </w:rPr>
        <w:t>et al.</w:t>
      </w:r>
      <w:r w:rsidRPr="00CC0F9A">
        <w:t xml:space="preserve"> No consistent effects of humans on animal genetic diversity worldwide. </w:t>
      </w:r>
      <w:proofErr w:type="spellStart"/>
      <w:r w:rsidRPr="00CC0F9A">
        <w:rPr>
          <w:i/>
        </w:rPr>
        <w:t>Ecol</w:t>
      </w:r>
      <w:proofErr w:type="spellEnd"/>
      <w:r w:rsidRPr="00CC0F9A">
        <w:rPr>
          <w:i/>
        </w:rPr>
        <w:t xml:space="preserve"> Lett </w:t>
      </w:r>
      <w:r w:rsidRPr="00CC0F9A">
        <w:rPr>
          <w:b/>
        </w:rPr>
        <w:t>23</w:t>
      </w:r>
      <w:r w:rsidRPr="00CC0F9A">
        <w:t>, 55–67 (2020).</w:t>
      </w:r>
    </w:p>
    <w:p w14:paraId="3B0DC212"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9.</w:t>
      </w:r>
      <w:r w:rsidRPr="00CC0F9A">
        <w:tab/>
        <w:t xml:space="preserve">Newbold, T. </w:t>
      </w:r>
      <w:r w:rsidRPr="00CC0F9A">
        <w:rPr>
          <w:i/>
        </w:rPr>
        <w:t>et al.</w:t>
      </w:r>
      <w:r w:rsidRPr="00CC0F9A">
        <w:t xml:space="preserve"> Global effects of land use on local terrestrial biodiversity. </w:t>
      </w:r>
      <w:r w:rsidRPr="00CC0F9A">
        <w:rPr>
          <w:i/>
        </w:rPr>
        <w:t xml:space="preserve">Nature </w:t>
      </w:r>
      <w:r w:rsidRPr="00CC0F9A">
        <w:rPr>
          <w:b/>
        </w:rPr>
        <w:t>520</w:t>
      </w:r>
      <w:r w:rsidRPr="00CC0F9A">
        <w:t>, 45–50 (2015).</w:t>
      </w:r>
    </w:p>
    <w:p w14:paraId="19DAF8F8"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10.</w:t>
      </w:r>
      <w:r w:rsidRPr="00CC0F9A">
        <w:tab/>
        <w:t xml:space="preserve">Pereira, H. M. </w:t>
      </w:r>
      <w:r w:rsidRPr="00CC0F9A">
        <w:rPr>
          <w:i/>
        </w:rPr>
        <w:t>et al.</w:t>
      </w:r>
      <w:r w:rsidRPr="00CC0F9A">
        <w:t xml:space="preserve"> Essential Biodiversity Variables. </w:t>
      </w:r>
      <w:r w:rsidRPr="00CC0F9A">
        <w:rPr>
          <w:i/>
        </w:rPr>
        <w:t xml:space="preserve">Science </w:t>
      </w:r>
      <w:r w:rsidRPr="00CC0F9A">
        <w:rPr>
          <w:b/>
        </w:rPr>
        <w:t>339</w:t>
      </w:r>
      <w:r w:rsidRPr="00CC0F9A">
        <w:t>, 277–278 (2013).</w:t>
      </w:r>
    </w:p>
    <w:p w14:paraId="008E0010"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11.</w:t>
      </w:r>
      <w:r w:rsidRPr="00CC0F9A">
        <w:tab/>
        <w:t>OECD. "The Post-2020 Biodiversity Framework: Targets, indicators and measurability implications at global and national level”, November version. (2019).</w:t>
      </w:r>
    </w:p>
    <w:p w14:paraId="62A5219A"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12.</w:t>
      </w:r>
      <w:r w:rsidRPr="00CC0F9A">
        <w:tab/>
        <w:t xml:space="preserve">Xu, H. </w:t>
      </w:r>
      <w:r w:rsidRPr="00CC0F9A">
        <w:rPr>
          <w:i/>
        </w:rPr>
        <w:t>et al.</w:t>
      </w:r>
      <w:r w:rsidRPr="00CC0F9A">
        <w:t xml:space="preserve"> Ensuring effective implementation of the post-2020 global biodiversity targets. </w:t>
      </w:r>
      <w:r w:rsidRPr="00CC0F9A">
        <w:rPr>
          <w:i/>
        </w:rPr>
        <w:t xml:space="preserve">Nat </w:t>
      </w:r>
      <w:proofErr w:type="spellStart"/>
      <w:r w:rsidRPr="00CC0F9A">
        <w:rPr>
          <w:i/>
        </w:rPr>
        <w:t>Ecol</w:t>
      </w:r>
      <w:proofErr w:type="spellEnd"/>
      <w:r w:rsidRPr="00CC0F9A">
        <w:rPr>
          <w:i/>
        </w:rPr>
        <w:t xml:space="preserve"> </w:t>
      </w:r>
      <w:proofErr w:type="spellStart"/>
      <w:r w:rsidRPr="00CC0F9A">
        <w:rPr>
          <w:i/>
        </w:rPr>
        <w:t>Evol</w:t>
      </w:r>
      <w:proofErr w:type="spellEnd"/>
      <w:r w:rsidRPr="00CC0F9A">
        <w:rPr>
          <w:i/>
        </w:rPr>
        <w:t xml:space="preserve"> </w:t>
      </w:r>
      <w:r w:rsidRPr="00CC0F9A">
        <w:rPr>
          <w:b/>
        </w:rPr>
        <w:t>5</w:t>
      </w:r>
      <w:r w:rsidRPr="00CC0F9A">
        <w:t>, 411–418 (2021).</w:t>
      </w:r>
    </w:p>
    <w:p w14:paraId="74070F33"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13.</w:t>
      </w:r>
      <w:r w:rsidRPr="00CC0F9A">
        <w:tab/>
        <w:t xml:space="preserve">Gonzalez, A. </w:t>
      </w:r>
      <w:r w:rsidRPr="00CC0F9A">
        <w:rPr>
          <w:i/>
        </w:rPr>
        <w:t>et al.</w:t>
      </w:r>
      <w:r w:rsidRPr="00CC0F9A">
        <w:t xml:space="preserve"> Estimating local biodiversity change: a critique of papers claiming no net loss of local diversity. </w:t>
      </w:r>
      <w:r w:rsidRPr="00CC0F9A">
        <w:rPr>
          <w:i/>
        </w:rPr>
        <w:t xml:space="preserve">Ecology </w:t>
      </w:r>
      <w:r w:rsidRPr="00CC0F9A">
        <w:rPr>
          <w:b/>
        </w:rPr>
        <w:t>97</w:t>
      </w:r>
      <w:r w:rsidRPr="00CC0F9A">
        <w:t>, 1949–2960 (2016).</w:t>
      </w:r>
    </w:p>
    <w:p w14:paraId="4DDEFF4D"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14.</w:t>
      </w:r>
      <w:r w:rsidRPr="00CC0F9A">
        <w:tab/>
        <w:t xml:space="preserve">Amano, T., Lamming, J. D. L. &amp; Sutherland, W. J. Spatial Gaps in Global Biodiversity Information and the Role of Citizen Science. </w:t>
      </w:r>
      <w:proofErr w:type="spellStart"/>
      <w:r w:rsidRPr="00CC0F9A">
        <w:rPr>
          <w:i/>
        </w:rPr>
        <w:t>BioScience</w:t>
      </w:r>
      <w:proofErr w:type="spellEnd"/>
      <w:r w:rsidRPr="00CC0F9A">
        <w:rPr>
          <w:i/>
        </w:rPr>
        <w:t xml:space="preserve"> </w:t>
      </w:r>
      <w:r w:rsidRPr="00CC0F9A">
        <w:rPr>
          <w:b/>
        </w:rPr>
        <w:t>66</w:t>
      </w:r>
      <w:r w:rsidRPr="00CC0F9A">
        <w:t>, 393–400 (2016).</w:t>
      </w:r>
    </w:p>
    <w:p w14:paraId="7EF51CD6"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15.</w:t>
      </w:r>
      <w:r w:rsidRPr="00CC0F9A">
        <w:tab/>
      </w:r>
      <w:proofErr w:type="spellStart"/>
      <w:r w:rsidRPr="00CC0F9A">
        <w:t>Boakes</w:t>
      </w:r>
      <w:proofErr w:type="spellEnd"/>
      <w:r w:rsidRPr="00CC0F9A">
        <w:t xml:space="preserve">, E. H. </w:t>
      </w:r>
      <w:r w:rsidRPr="00CC0F9A">
        <w:rPr>
          <w:i/>
        </w:rPr>
        <w:t>et al.</w:t>
      </w:r>
      <w:r w:rsidRPr="00CC0F9A">
        <w:t xml:space="preserve"> Distorted Views of Biodiversity: Spatial and Temporal Bias in Species </w:t>
      </w:r>
      <w:r w:rsidRPr="00CC0F9A">
        <w:lastRenderedPageBreak/>
        <w:t xml:space="preserve">Occurrence Data. </w:t>
      </w:r>
      <w:proofErr w:type="spellStart"/>
      <w:r w:rsidRPr="00CC0F9A">
        <w:rPr>
          <w:i/>
        </w:rPr>
        <w:t>PLoS</w:t>
      </w:r>
      <w:proofErr w:type="spellEnd"/>
      <w:r w:rsidRPr="00CC0F9A">
        <w:rPr>
          <w:i/>
        </w:rPr>
        <w:t xml:space="preserve"> Biol </w:t>
      </w:r>
      <w:r w:rsidRPr="00CC0F9A">
        <w:rPr>
          <w:b/>
        </w:rPr>
        <w:t>8</w:t>
      </w:r>
      <w:r w:rsidRPr="00CC0F9A">
        <w:t>, e1000385 (2010).</w:t>
      </w:r>
    </w:p>
    <w:p w14:paraId="1C604537"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16.</w:t>
      </w:r>
      <w:r w:rsidRPr="00CC0F9A">
        <w:tab/>
        <w:t xml:space="preserve">Meyer, C., </w:t>
      </w:r>
      <w:proofErr w:type="spellStart"/>
      <w:r w:rsidRPr="00CC0F9A">
        <w:t>Kreft</w:t>
      </w:r>
      <w:proofErr w:type="spellEnd"/>
      <w:r w:rsidRPr="00CC0F9A">
        <w:t xml:space="preserve">, H., </w:t>
      </w:r>
      <w:proofErr w:type="spellStart"/>
      <w:r w:rsidRPr="00CC0F9A">
        <w:t>Guralnick</w:t>
      </w:r>
      <w:proofErr w:type="spellEnd"/>
      <w:r w:rsidRPr="00CC0F9A">
        <w:t xml:space="preserve">, R. &amp; </w:t>
      </w:r>
      <w:proofErr w:type="spellStart"/>
      <w:r w:rsidRPr="00CC0F9A">
        <w:t>Jetz</w:t>
      </w:r>
      <w:proofErr w:type="spellEnd"/>
      <w:r w:rsidRPr="00CC0F9A">
        <w:t xml:space="preserve">, W. Global priorities for an effective information basis of biodiversity distributions. </w:t>
      </w:r>
      <w:r w:rsidRPr="00CC0F9A">
        <w:rPr>
          <w:i/>
        </w:rPr>
        <w:t xml:space="preserve">Nat </w:t>
      </w:r>
      <w:proofErr w:type="spellStart"/>
      <w:r w:rsidRPr="00CC0F9A">
        <w:rPr>
          <w:i/>
        </w:rPr>
        <w:t>Commun</w:t>
      </w:r>
      <w:proofErr w:type="spellEnd"/>
      <w:r w:rsidRPr="00CC0F9A">
        <w:rPr>
          <w:i/>
        </w:rPr>
        <w:t xml:space="preserve"> </w:t>
      </w:r>
      <w:r w:rsidRPr="00CC0F9A">
        <w:rPr>
          <w:b/>
        </w:rPr>
        <w:t>6</w:t>
      </w:r>
      <w:r w:rsidRPr="00CC0F9A">
        <w:t>, 8221 (2015).</w:t>
      </w:r>
    </w:p>
    <w:p w14:paraId="344C120B" w14:textId="77777777" w:rsidR="000672C4" w:rsidRPr="00CC0F9A" w:rsidRDefault="000672C4" w:rsidP="00CC0F9A">
      <w:pPr>
        <w:widowControl w:val="0"/>
        <w:pBdr>
          <w:top w:val="nil"/>
          <w:left w:val="nil"/>
          <w:bottom w:val="nil"/>
          <w:right w:val="nil"/>
          <w:between w:val="nil"/>
        </w:pBdr>
        <w:spacing w:line="360" w:lineRule="auto"/>
        <w:ind w:left="384" w:hanging="384"/>
      </w:pPr>
      <w:r w:rsidRPr="00CC0F9A">
        <w:t>17.</w:t>
      </w:r>
      <w:r w:rsidRPr="00CC0F9A">
        <w:tab/>
        <w:t xml:space="preserve">WWF. Living Planet Report - 2018: Aiming Higher. </w:t>
      </w:r>
      <w:proofErr w:type="spellStart"/>
      <w:r w:rsidRPr="00CC0F9A">
        <w:t>Grooten</w:t>
      </w:r>
      <w:proofErr w:type="spellEnd"/>
      <w:r w:rsidRPr="00CC0F9A">
        <w:t>, M. and Almond, R.E.A.(Eds). WWF, Gland, Switzerland. (2018).</w:t>
      </w:r>
    </w:p>
    <w:p w14:paraId="6CD01A26" w14:textId="56D6A843" w:rsidR="000672C4" w:rsidRPr="004A0265" w:rsidRDefault="000672C4" w:rsidP="004A0265">
      <w:pPr>
        <w:widowControl w:val="0"/>
        <w:pBdr>
          <w:top w:val="nil"/>
          <w:left w:val="nil"/>
          <w:bottom w:val="nil"/>
          <w:right w:val="nil"/>
          <w:between w:val="nil"/>
        </w:pBdr>
        <w:spacing w:line="360" w:lineRule="auto"/>
        <w:ind w:left="384" w:hanging="384"/>
      </w:pPr>
      <w:r w:rsidRPr="00CC0F9A">
        <w:t>18.</w:t>
      </w:r>
      <w:r w:rsidRPr="00CC0F9A">
        <w:tab/>
        <w:t xml:space="preserve">Bowler, D. E. </w:t>
      </w:r>
      <w:r w:rsidRPr="00CC0F9A">
        <w:rPr>
          <w:i/>
        </w:rPr>
        <w:t>et al.</w:t>
      </w:r>
      <w:r w:rsidRPr="00CC0F9A">
        <w:t xml:space="preserve"> Mapping human pressures on biodiversity across the planet uncovers anthropogenic threat complexes. </w:t>
      </w:r>
      <w:r w:rsidRPr="00CC0F9A">
        <w:rPr>
          <w:i/>
        </w:rPr>
        <w:t xml:space="preserve">People and Nature </w:t>
      </w:r>
      <w:r w:rsidRPr="00CC0F9A">
        <w:rPr>
          <w:b/>
        </w:rPr>
        <w:t>2</w:t>
      </w:r>
      <w:r w:rsidRPr="00CC0F9A">
        <w:t>, 380–394 (2020).</w:t>
      </w:r>
    </w:p>
    <w:sectPr w:rsidR="000672C4" w:rsidRPr="004A0265">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50A8C" w14:textId="77777777" w:rsidR="00BB67BB" w:rsidRDefault="00BB67BB">
      <w:pPr>
        <w:spacing w:line="240" w:lineRule="auto"/>
      </w:pPr>
      <w:r>
        <w:separator/>
      </w:r>
    </w:p>
  </w:endnote>
  <w:endnote w:type="continuationSeparator" w:id="0">
    <w:p w14:paraId="15693D45" w14:textId="77777777" w:rsidR="00BB67BB" w:rsidRDefault="00BB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1BE3F" w14:textId="77777777" w:rsidR="000672C4" w:rsidRPr="000672C4" w:rsidRDefault="000672C4">
    <w:pPr>
      <w:pStyle w:val="Footer"/>
      <w:jc w:val="center"/>
      <w:rPr>
        <w:color w:val="000000" w:themeColor="text1"/>
      </w:rPr>
    </w:pPr>
    <w:r w:rsidRPr="000672C4">
      <w:rPr>
        <w:color w:val="000000" w:themeColor="text1"/>
      </w:rPr>
      <w:t xml:space="preserve">Page </w:t>
    </w:r>
    <w:r w:rsidRPr="000672C4">
      <w:rPr>
        <w:color w:val="000000" w:themeColor="text1"/>
      </w:rPr>
      <w:fldChar w:fldCharType="begin"/>
    </w:r>
    <w:r w:rsidRPr="000672C4">
      <w:rPr>
        <w:color w:val="000000" w:themeColor="text1"/>
      </w:rPr>
      <w:instrText xml:space="preserve"> PAGE  \* Arabic  \* MERGEFORMAT </w:instrText>
    </w:r>
    <w:r w:rsidRPr="000672C4">
      <w:rPr>
        <w:color w:val="000000" w:themeColor="text1"/>
      </w:rPr>
      <w:fldChar w:fldCharType="separate"/>
    </w:r>
    <w:r w:rsidRPr="000672C4">
      <w:rPr>
        <w:noProof/>
        <w:color w:val="000000" w:themeColor="text1"/>
      </w:rPr>
      <w:t>2</w:t>
    </w:r>
    <w:r w:rsidRPr="000672C4">
      <w:rPr>
        <w:color w:val="000000" w:themeColor="text1"/>
      </w:rPr>
      <w:fldChar w:fldCharType="end"/>
    </w:r>
    <w:r w:rsidRPr="000672C4">
      <w:rPr>
        <w:color w:val="000000" w:themeColor="text1"/>
      </w:rPr>
      <w:t xml:space="preserve"> of </w:t>
    </w:r>
    <w:r w:rsidRPr="000672C4">
      <w:rPr>
        <w:color w:val="000000" w:themeColor="text1"/>
      </w:rPr>
      <w:fldChar w:fldCharType="begin"/>
    </w:r>
    <w:r w:rsidRPr="000672C4">
      <w:rPr>
        <w:color w:val="000000" w:themeColor="text1"/>
      </w:rPr>
      <w:instrText xml:space="preserve"> NUMPAGES  \* Arabic  \* MERGEFORMAT </w:instrText>
    </w:r>
    <w:r w:rsidRPr="000672C4">
      <w:rPr>
        <w:color w:val="000000" w:themeColor="text1"/>
      </w:rPr>
      <w:fldChar w:fldCharType="separate"/>
    </w:r>
    <w:r w:rsidRPr="000672C4">
      <w:rPr>
        <w:noProof/>
        <w:color w:val="000000" w:themeColor="text1"/>
      </w:rPr>
      <w:t>2</w:t>
    </w:r>
    <w:r w:rsidRPr="000672C4">
      <w:rPr>
        <w:color w:val="000000" w:themeColor="text1"/>
      </w:rPr>
      <w:fldChar w:fldCharType="end"/>
    </w:r>
  </w:p>
  <w:p w14:paraId="2D5DD6B7" w14:textId="77777777" w:rsidR="000672C4" w:rsidRDefault="00067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1145F" w14:textId="77777777" w:rsidR="00BB67BB" w:rsidRDefault="00BB67BB">
      <w:pPr>
        <w:spacing w:line="240" w:lineRule="auto"/>
      </w:pPr>
      <w:r>
        <w:separator/>
      </w:r>
    </w:p>
  </w:footnote>
  <w:footnote w:type="continuationSeparator" w:id="0">
    <w:p w14:paraId="202644D3" w14:textId="77777777" w:rsidR="00BB67BB" w:rsidRDefault="00BB6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CB09A" w14:textId="0EF2851F" w:rsidR="00C53C63" w:rsidRDefault="008729D0">
    <w:pPr>
      <w:rPr>
        <w:color w:val="666666"/>
      </w:rPr>
    </w:pPr>
    <w:r>
      <w:rPr>
        <w:color w:val="666666"/>
      </w:rPr>
      <w:t xml:space="preserve">Cover letter                         </w:t>
    </w:r>
    <w:r w:rsidR="004C057F">
      <w:rPr>
        <w:color w:val="666666"/>
      </w:rPr>
      <w:t xml:space="preserve">                  </w:t>
    </w:r>
    <w:proofErr w:type="spellStart"/>
    <w:r w:rsidR="004C057F">
      <w:rPr>
        <w:color w:val="666666"/>
      </w:rPr>
      <w:t>Daskalova</w:t>
    </w:r>
    <w:proofErr w:type="spellEnd"/>
    <w:r w:rsidR="004C057F">
      <w:rPr>
        <w:color w:val="666666"/>
      </w:rPr>
      <w:t xml:space="preserve"> et al. </w:t>
    </w:r>
    <w:r>
      <w:rPr>
        <w:color w:val="666666"/>
      </w:rPr>
      <w:t xml:space="preserve">            </w:t>
    </w:r>
    <w:r w:rsidR="004C057F">
      <w:rPr>
        <w:color w:val="666666"/>
      </w:rPr>
      <w:t xml:space="preserve">                                2</w:t>
    </w:r>
    <w:r>
      <w:rPr>
        <w:color w:val="666666"/>
      </w:rPr>
      <w:t>3</w:t>
    </w:r>
    <w:r w:rsidR="004C057F">
      <w:rPr>
        <w:color w:val="666666"/>
      </w:rPr>
      <w:t xml:space="preserve"> Ju</w:t>
    </w:r>
    <w:r>
      <w:rPr>
        <w:color w:val="666666"/>
      </w:rPr>
      <w:t>ly</w:t>
    </w:r>
    <w:r w:rsidR="004C057F">
      <w:rPr>
        <w:color w:val="666666"/>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51D1D"/>
    <w:multiLevelType w:val="multilevel"/>
    <w:tmpl w:val="4FE0D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292DF3"/>
    <w:multiLevelType w:val="multilevel"/>
    <w:tmpl w:val="FA3A1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C63"/>
    <w:rsid w:val="000672C4"/>
    <w:rsid w:val="001E322C"/>
    <w:rsid w:val="00470CC6"/>
    <w:rsid w:val="004A0265"/>
    <w:rsid w:val="004C057F"/>
    <w:rsid w:val="00584D77"/>
    <w:rsid w:val="00586DF4"/>
    <w:rsid w:val="008729D0"/>
    <w:rsid w:val="00B072BA"/>
    <w:rsid w:val="00BB67BB"/>
    <w:rsid w:val="00C53C63"/>
    <w:rsid w:val="00CC0F9A"/>
    <w:rsid w:val="00CF10FC"/>
    <w:rsid w:val="00E9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0144"/>
  <w15:docId w15:val="{25C66719-7A03-A64F-9413-F972981C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72C4"/>
    <w:pPr>
      <w:tabs>
        <w:tab w:val="center" w:pos="4680"/>
        <w:tab w:val="right" w:pos="9360"/>
      </w:tabs>
      <w:spacing w:line="240" w:lineRule="auto"/>
    </w:pPr>
  </w:style>
  <w:style w:type="character" w:customStyle="1" w:styleId="HeaderChar">
    <w:name w:val="Header Char"/>
    <w:basedOn w:val="DefaultParagraphFont"/>
    <w:link w:val="Header"/>
    <w:uiPriority w:val="99"/>
    <w:rsid w:val="000672C4"/>
  </w:style>
  <w:style w:type="paragraph" w:styleId="Footer">
    <w:name w:val="footer"/>
    <w:basedOn w:val="Normal"/>
    <w:link w:val="FooterChar"/>
    <w:uiPriority w:val="99"/>
    <w:unhideWhenUsed/>
    <w:rsid w:val="000672C4"/>
    <w:pPr>
      <w:tabs>
        <w:tab w:val="center" w:pos="4680"/>
        <w:tab w:val="right" w:pos="9360"/>
      </w:tabs>
      <w:spacing w:line="240" w:lineRule="auto"/>
    </w:pPr>
  </w:style>
  <w:style w:type="character" w:customStyle="1" w:styleId="FooterChar">
    <w:name w:val="Footer Char"/>
    <w:basedOn w:val="DefaultParagraphFont"/>
    <w:link w:val="Footer"/>
    <w:uiPriority w:val="99"/>
    <w:rsid w:val="000672C4"/>
  </w:style>
  <w:style w:type="paragraph" w:styleId="BodyText">
    <w:name w:val="Body Text"/>
    <w:basedOn w:val="Normal"/>
    <w:link w:val="BodyTextChar"/>
    <w:rsid w:val="008729D0"/>
    <w:pPr>
      <w:spacing w:after="240" w:line="240" w:lineRule="auto"/>
    </w:pPr>
    <w:rPr>
      <w:rFonts w:eastAsia="Times New Roman"/>
      <w:lang w:val="en-GB" w:eastAsia="en-GB"/>
    </w:rPr>
  </w:style>
  <w:style w:type="character" w:customStyle="1" w:styleId="BodyTextChar">
    <w:name w:val="Body Text Char"/>
    <w:basedOn w:val="DefaultParagraphFont"/>
    <w:link w:val="BodyText"/>
    <w:rsid w:val="008729D0"/>
    <w:rPr>
      <w:rFonts w:eastAsia="Times New Roman"/>
      <w:lang w:val="en-GB" w:eastAsia="en-GB"/>
    </w:rPr>
  </w:style>
  <w:style w:type="character" w:styleId="Hyperlink">
    <w:name w:val="Hyperlink"/>
    <w:basedOn w:val="DefaultParagraphFont"/>
    <w:rsid w:val="008729D0"/>
    <w:rPr>
      <w:strike w:val="0"/>
      <w:dstrike w:val="0"/>
      <w:color w:val="0000FF"/>
      <w:u w:val="none"/>
      <w:effect w:val="none"/>
    </w:rPr>
  </w:style>
  <w:style w:type="character" w:styleId="UnresolvedMention">
    <w:name w:val="Unresolved Mention"/>
    <w:basedOn w:val="DefaultParagraphFont"/>
    <w:uiPriority w:val="99"/>
    <w:semiHidden/>
    <w:unhideWhenUsed/>
    <w:rsid w:val="00872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5363">
      <w:bodyDiv w:val="1"/>
      <w:marLeft w:val="0"/>
      <w:marRight w:val="0"/>
      <w:marTop w:val="0"/>
      <w:marBottom w:val="0"/>
      <w:divBdr>
        <w:top w:val="none" w:sz="0" w:space="0" w:color="auto"/>
        <w:left w:val="none" w:sz="0" w:space="0" w:color="auto"/>
        <w:bottom w:val="none" w:sz="0" w:space="0" w:color="auto"/>
        <w:right w:val="none" w:sz="0" w:space="0" w:color="auto"/>
      </w:divBdr>
    </w:div>
    <w:div w:id="381098183">
      <w:bodyDiv w:val="1"/>
      <w:marLeft w:val="0"/>
      <w:marRight w:val="0"/>
      <w:marTop w:val="0"/>
      <w:marBottom w:val="0"/>
      <w:divBdr>
        <w:top w:val="none" w:sz="0" w:space="0" w:color="auto"/>
        <w:left w:val="none" w:sz="0" w:space="0" w:color="auto"/>
        <w:bottom w:val="none" w:sz="0" w:space="0" w:color="auto"/>
        <w:right w:val="none" w:sz="0" w:space="0" w:color="auto"/>
      </w:divBdr>
    </w:div>
    <w:div w:id="9423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banks@imperial.ac.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nathan.lenoir@u-picardie.f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aniel.metcalfe@umu.se" TargetMode="External"/><Relationship Id="rId4" Type="http://schemas.openxmlformats.org/officeDocument/2006/relationships/webSettings" Target="webSettings.xml"/><Relationship Id="rId9" Type="http://schemas.openxmlformats.org/officeDocument/2006/relationships/hyperlink" Target="mailto:gndaskalova@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DASKALOVA Gergana Nikolaeva</cp:lastModifiedBy>
  <cp:revision>2</cp:revision>
  <dcterms:created xsi:type="dcterms:W3CDTF">2021-07-22T14:34:00Z</dcterms:created>
  <dcterms:modified xsi:type="dcterms:W3CDTF">2021-07-22T14:34:00Z</dcterms:modified>
</cp:coreProperties>
</file>