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37E" w:rsidRPr="0084537E" w:rsidRDefault="0084537E" w:rsidP="0084537E">
      <w:pPr>
        <w:pStyle w:val="Heading1"/>
      </w:pPr>
      <w:r w:rsidRPr="0084537E">
        <w:t>Strategic Alignment &amp; Scope Definition: Online LMS</w:t>
      </w:r>
    </w:p>
    <w:p w:rsidR="0022697A" w:rsidRDefault="0022697A" w:rsidP="00780E03">
      <w:pPr>
        <w:pStyle w:val="NoSpacing"/>
      </w:pPr>
      <w:r>
        <w:t>An Online LMS initiative must serve as a strategic engine for workforce capability, compliance readiness, and scalable knowledge distribution. Without clear boundaries and upfront alignment, LMS projects frequently fall into the trap of over-customization, delayed launches, and low user engagement.</w:t>
      </w:r>
      <w:r>
        <w:t xml:space="preserve"> </w:t>
      </w:r>
      <w:r>
        <w:t xml:space="preserve">The expanded framework below establishes </w:t>
      </w:r>
      <w:proofErr w:type="spellStart"/>
      <w:proofErr w:type="gramStart"/>
      <w:r>
        <w:t>a</w:t>
      </w:r>
      <w:proofErr w:type="spellEnd"/>
      <w:proofErr w:type="gramEnd"/>
      <w:r>
        <w:t xml:space="preserve"> airtight operational baseline for project execution:</w:t>
      </w:r>
    </w:p>
    <w:p w:rsidR="000E7C02" w:rsidRDefault="000E7C02" w:rsidP="000E7C02">
      <w:pPr>
        <w:pStyle w:val="Heading2"/>
      </w:pPr>
      <w:r>
        <w:t>2. Project Charter:</w:t>
      </w:r>
    </w:p>
    <w:p w:rsidR="000E7C02" w:rsidRDefault="000E7C02" w:rsidP="00780E03">
      <w:pPr>
        <w:pStyle w:val="NoSpacing"/>
      </w:pPr>
      <w:r>
        <w:t>The Project Charter establishes executive authorization, defines clear boundaries, and anchors the project to verifiable business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B637FB" w:rsidTr="002F1930">
        <w:tc>
          <w:tcPr>
            <w:tcW w:w="9350" w:type="dxa"/>
            <w:gridSpan w:val="2"/>
          </w:tcPr>
          <w:p w:rsidR="00B637FB" w:rsidRDefault="00B637FB" w:rsidP="00780E03">
            <w:pPr>
              <w:pStyle w:val="NoSpacing"/>
            </w:pPr>
            <w:r>
              <w:t>PROJECT CHARTER SUMMARY</w:t>
            </w:r>
          </w:p>
        </w:tc>
      </w:tr>
      <w:tr w:rsidR="00B637FB" w:rsidTr="00B637FB">
        <w:tc>
          <w:tcPr>
            <w:tcW w:w="2605" w:type="dxa"/>
          </w:tcPr>
          <w:p w:rsidR="00B637FB" w:rsidRDefault="00B637FB" w:rsidP="00780E03">
            <w:pPr>
              <w:pStyle w:val="NoSpacing"/>
            </w:pPr>
            <w:r>
              <w:t>Core Purpose</w:t>
            </w:r>
          </w:p>
        </w:tc>
        <w:tc>
          <w:tcPr>
            <w:tcW w:w="6745" w:type="dxa"/>
          </w:tcPr>
          <w:p w:rsidR="00B637FB" w:rsidRDefault="00B637FB" w:rsidP="00780E03">
            <w:pPr>
              <w:pStyle w:val="NoSpacing"/>
            </w:pPr>
            <w:r>
              <w:t>Centralize, automate, and</w:t>
            </w:r>
            <w:r>
              <w:t xml:space="preserve"> scale organizational learning</w:t>
            </w:r>
          </w:p>
        </w:tc>
      </w:tr>
      <w:tr w:rsidR="00B637FB" w:rsidTr="00B637FB">
        <w:tc>
          <w:tcPr>
            <w:tcW w:w="2605" w:type="dxa"/>
          </w:tcPr>
          <w:p w:rsidR="00B637FB" w:rsidRDefault="00B637FB" w:rsidP="00780E03">
            <w:pPr>
              <w:pStyle w:val="NoSpacing"/>
            </w:pPr>
            <w:r>
              <w:t>Target Timeline</w:t>
            </w:r>
          </w:p>
        </w:tc>
        <w:tc>
          <w:tcPr>
            <w:tcW w:w="6745" w:type="dxa"/>
          </w:tcPr>
          <w:p w:rsidR="00B637FB" w:rsidRDefault="00B637FB" w:rsidP="00780E03">
            <w:pPr>
              <w:pStyle w:val="NoSpacing"/>
            </w:pPr>
            <w:r>
              <w:t xml:space="preserve">8 Months (Kickoff to Organization-wide Go-Live) </w:t>
            </w:r>
          </w:p>
        </w:tc>
      </w:tr>
      <w:tr w:rsidR="00B637FB" w:rsidTr="00B637FB">
        <w:tc>
          <w:tcPr>
            <w:tcW w:w="2605" w:type="dxa"/>
          </w:tcPr>
          <w:p w:rsidR="00B637FB" w:rsidRDefault="00B637FB" w:rsidP="00780E03">
            <w:pPr>
              <w:pStyle w:val="NoSpacing"/>
            </w:pPr>
            <w:r>
              <w:t>Allocated Budget</w:t>
            </w:r>
          </w:p>
        </w:tc>
        <w:tc>
          <w:tcPr>
            <w:tcW w:w="6745" w:type="dxa"/>
          </w:tcPr>
          <w:p w:rsidR="00B637FB" w:rsidRDefault="00B637FB" w:rsidP="00780E03">
            <w:pPr>
              <w:pStyle w:val="NoSpacing"/>
            </w:pPr>
            <w:r>
              <w:t>$250,000 USD (Software licensing, implementation, sandbox)</w:t>
            </w:r>
          </w:p>
        </w:tc>
      </w:tr>
      <w:tr w:rsidR="00B637FB" w:rsidTr="00B637FB">
        <w:tc>
          <w:tcPr>
            <w:tcW w:w="2605" w:type="dxa"/>
          </w:tcPr>
          <w:p w:rsidR="00B637FB" w:rsidRDefault="00B637FB" w:rsidP="00780E03">
            <w:pPr>
              <w:pStyle w:val="NoSpacing"/>
            </w:pPr>
            <w:r>
              <w:t>Primary Success Metric</w:t>
            </w:r>
          </w:p>
        </w:tc>
        <w:tc>
          <w:tcPr>
            <w:tcW w:w="6745" w:type="dxa"/>
          </w:tcPr>
          <w:p w:rsidR="00B637FB" w:rsidRDefault="00B637FB" w:rsidP="00780E03">
            <w:pPr>
              <w:pStyle w:val="NoSpacing"/>
            </w:pPr>
            <w:r>
              <w:t xml:space="preserve">90%+ compliance completion within 30 days of rollout </w:t>
            </w:r>
          </w:p>
        </w:tc>
      </w:tr>
    </w:tbl>
    <w:p w:rsidR="0084537E" w:rsidRDefault="00AE1ED8" w:rsidP="00AE1ED8">
      <w:pPr>
        <w:pStyle w:val="Heading3"/>
      </w:pPr>
      <w:r>
        <w:t>Strategic Business Objectives &amp; Quantifiable Target Metrics:</w:t>
      </w:r>
    </w:p>
    <w:p w:rsidR="00AE1ED8" w:rsidRPr="006B1084" w:rsidRDefault="00AE1ED8" w:rsidP="00AE1ED8">
      <w:pPr>
        <w:pStyle w:val="NormalWeb"/>
        <w:numPr>
          <w:ilvl w:val="0"/>
          <w:numId w:val="2"/>
        </w:numPr>
      </w:pPr>
      <w:r w:rsidRPr="006B1084">
        <w:rPr>
          <w:bCs/>
        </w:rPr>
        <w:t>Compliance Automation:</w:t>
      </w:r>
      <w:r w:rsidRPr="006B1084">
        <w:t xml:space="preserve"> Reach </w:t>
      </w:r>
      <w:r w:rsidRPr="006B1084">
        <w:rPr>
          <w:bCs/>
        </w:rPr>
        <w:t>90%+ timely completion</w:t>
      </w:r>
      <w:r w:rsidRPr="006B1084">
        <w:t xml:space="preserve"> for mandatory compliance training (e.g., Cybersecurity, Data Privacy, </w:t>
      </w:r>
      <w:r w:rsidRPr="006B1084">
        <w:t>and Safety</w:t>
      </w:r>
      <w:r w:rsidRPr="006B1084">
        <w:t>) within 30 days of release, reducing audit penalty exposure to near zero.</w:t>
      </w:r>
    </w:p>
    <w:p w:rsidR="00AE1ED8" w:rsidRPr="006B1084" w:rsidRDefault="00AE1ED8" w:rsidP="00AE1ED8">
      <w:pPr>
        <w:pStyle w:val="NormalWeb"/>
        <w:numPr>
          <w:ilvl w:val="0"/>
          <w:numId w:val="2"/>
        </w:numPr>
      </w:pPr>
      <w:r w:rsidRPr="006B1084">
        <w:rPr>
          <w:bCs/>
        </w:rPr>
        <w:t>Cost &amp; Efficiency Gains:</w:t>
      </w:r>
      <w:r w:rsidRPr="006B1084">
        <w:t xml:space="preserve"> Lower instructor-led training (ILT) overhead and delivery costs by </w:t>
      </w:r>
      <w:r w:rsidRPr="006B1084">
        <w:rPr>
          <w:bCs/>
        </w:rPr>
        <w:t>25% within Year 1</w:t>
      </w:r>
      <w:r w:rsidRPr="006B1084">
        <w:t xml:space="preserve"> by transitioning standard orientation modules to asynchronous online pathways.</w:t>
      </w:r>
    </w:p>
    <w:p w:rsidR="00AE1ED8" w:rsidRDefault="00AE1ED8" w:rsidP="00AE1ED8">
      <w:pPr>
        <w:pStyle w:val="NormalWeb"/>
        <w:numPr>
          <w:ilvl w:val="0"/>
          <w:numId w:val="2"/>
        </w:numPr>
      </w:pPr>
      <w:r w:rsidRPr="006B1084">
        <w:rPr>
          <w:bCs/>
        </w:rPr>
        <w:t>Time-to-Productivity:</w:t>
      </w:r>
      <w:r w:rsidRPr="006B1084">
        <w:t xml:space="preserve"> Reduce new hire onboarding completion time from 6 weeks to </w:t>
      </w:r>
      <w:r w:rsidRPr="006B1084">
        <w:rPr>
          <w:bCs/>
        </w:rPr>
        <w:t>3 weeks</w:t>
      </w:r>
      <w:r w:rsidRPr="006B1084">
        <w:t>, enabling faster time-to-value for new staff.</w:t>
      </w:r>
    </w:p>
    <w:p w:rsidR="00905860" w:rsidRPr="00905860" w:rsidRDefault="00905860" w:rsidP="00905860">
      <w:pPr>
        <w:pStyle w:val="Heading3"/>
      </w:pPr>
      <w:r w:rsidRPr="00905860">
        <w:t>High-Level Technical Constraints &amp; Regulatory Guardrails:</w:t>
      </w:r>
    </w:p>
    <w:p w:rsidR="00905860" w:rsidRPr="00905860" w:rsidRDefault="00905860" w:rsidP="009058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Security &amp; Authentication: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Must support Single Sign-On (SSO) via SAML 2.0 / OAuth 2.0 (e.g., Azure AD, </w:t>
      </w:r>
      <w:proofErr w:type="spellStart"/>
      <w:r w:rsidRPr="00905860">
        <w:rPr>
          <w:rFonts w:ascii="Times New Roman" w:eastAsia="Times New Roman" w:hAnsi="Times New Roman" w:cs="Times New Roman"/>
          <w:sz w:val="24"/>
          <w:szCs w:val="24"/>
        </w:rPr>
        <w:t>Okta</w:t>
      </w:r>
      <w:proofErr w:type="spellEnd"/>
      <w:r w:rsidRPr="00905860">
        <w:rPr>
          <w:rFonts w:ascii="Times New Roman" w:eastAsia="Times New Roman" w:hAnsi="Times New Roman" w:cs="Times New Roman"/>
          <w:sz w:val="24"/>
          <w:szCs w:val="24"/>
        </w:rPr>
        <w:t>) to align with enterprise IT security standards.</w:t>
      </w:r>
    </w:p>
    <w:p w:rsidR="00905860" w:rsidRPr="00905860" w:rsidRDefault="00905860" w:rsidP="009058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Data Privacy &amp; Compliance: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Strict compliance with </w:t>
      </w: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GDPR, CCPA, and SOC 2 Type II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frameworks for secure handling of personally identifiable information (PII).</w:t>
      </w:r>
    </w:p>
    <w:p w:rsidR="00905860" w:rsidRPr="00905860" w:rsidRDefault="00905860" w:rsidP="009058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Accessibility Standards: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Interface and authoring tools must conform strictly to </w:t>
      </w: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WCAG 2.1 AA guidelines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to support users with disabilities.</w:t>
      </w:r>
    </w:p>
    <w:p w:rsidR="00905860" w:rsidRPr="00905860" w:rsidRDefault="00905860" w:rsidP="009058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Performance &amp; Availability: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System architecture must guarantee </w:t>
      </w: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99.9% uptime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and accommodate up to 5,000 concurrent active users during peak hours without performance degradation.</w:t>
      </w:r>
    </w:p>
    <w:p w:rsidR="00905860" w:rsidRPr="00905860" w:rsidRDefault="009038F2" w:rsidP="009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>G</w:t>
      </w:r>
      <w:r w:rsidR="00905860" w:rsidRPr="00905860">
        <w:rPr>
          <w:rFonts w:ascii="Times New Roman" w:eastAsia="Times New Roman" w:hAnsi="Times New Roman" w:cs="Times New Roman"/>
          <w:b/>
          <w:bCs/>
          <w:sz w:val="24"/>
          <w:szCs w:val="24"/>
        </w:rPr>
        <w:t>overnance &amp; Key Decision-Makers:</w:t>
      </w:r>
    </w:p>
    <w:p w:rsidR="00905860" w:rsidRPr="00905860" w:rsidRDefault="00905860" w:rsidP="00905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Executive Sponsor: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VP of Human Resources / Chief Learning Officer (</w:t>
      </w:r>
      <w:r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>Final approval on scope, budget, and major milestone sign-offs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5860" w:rsidRPr="00905860" w:rsidRDefault="00905860" w:rsidP="00905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Project Manager: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Lead PM (</w:t>
      </w:r>
      <w:r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>Day-to-day execution, risk management, schedule variance tracking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5860" w:rsidRPr="00905860" w:rsidRDefault="00905860" w:rsidP="00905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Technical Lead: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Enterprise Systems Architect (</w:t>
      </w:r>
      <w:r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>Integration, SSO, data migration, performance standards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5860" w:rsidRPr="00905860" w:rsidRDefault="00905860" w:rsidP="00905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860">
        <w:rPr>
          <w:rFonts w:ascii="Times New Roman" w:eastAsia="Times New Roman" w:hAnsi="Times New Roman" w:cs="Times New Roman"/>
          <w:bCs/>
          <w:sz w:val="24"/>
          <w:szCs w:val="24"/>
        </w:rPr>
        <w:t>Business Operations Lead: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 xml:space="preserve"> L&amp;D Operations Manager (</w:t>
      </w:r>
      <w:r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Content standards, user acceptance testing, </w:t>
      </w:r>
      <w:r w:rsidR="009038F2"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>and change</w:t>
      </w:r>
      <w:r w:rsidRPr="0090586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management</w:t>
      </w:r>
      <w:r w:rsidRPr="009058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E1DAA" w:rsidRDefault="002E1DAA" w:rsidP="002E1DAA">
      <w:pPr>
        <w:pStyle w:val="Heading2"/>
      </w:pPr>
      <w:r>
        <w:t xml:space="preserve">2. </w:t>
      </w:r>
      <w:r>
        <w:t>Rigorous Scope Management</w:t>
      </w:r>
    </w:p>
    <w:p w:rsidR="002E1DAA" w:rsidRDefault="002E1DAA" w:rsidP="00780E03">
      <w:pPr>
        <w:pStyle w:val="NoSpacing"/>
      </w:pPr>
      <w:r w:rsidRPr="002E1DAA">
        <w:t xml:space="preserve">To maintain momentum and prevent cost overruns, the scope is divided strictly between baseline </w:t>
      </w:r>
      <w:r w:rsidRPr="002E1DAA">
        <w:rPr>
          <w:bCs/>
        </w:rPr>
        <w:t>MVP (Phase 1)</w:t>
      </w:r>
      <w:r w:rsidRPr="002E1DAA">
        <w:t xml:space="preserve"> deliverables and deferred capabilities </w:t>
      </w:r>
      <w:r w:rsidRPr="002E1DAA">
        <w:rPr>
          <w:bCs/>
        </w:rPr>
        <w:t>(Phase 2)</w:t>
      </w:r>
      <w:r w:rsidRPr="002E1DAA">
        <w:t>, governed by a rigid change control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DB2295" w:rsidTr="00DB2295">
        <w:tc>
          <w:tcPr>
            <w:tcW w:w="4135" w:type="dxa"/>
          </w:tcPr>
          <w:p w:rsidR="00DB2295" w:rsidRPr="00DB2295" w:rsidRDefault="00DB2295" w:rsidP="00780E03">
            <w:pPr>
              <w:pStyle w:val="NoSpacing"/>
            </w:pPr>
            <w:r w:rsidRPr="00DB2295">
              <w:t xml:space="preserve">IN-SCOPE (Phase 1 MVP) </w:t>
            </w:r>
          </w:p>
        </w:tc>
        <w:tc>
          <w:tcPr>
            <w:tcW w:w="5215" w:type="dxa"/>
          </w:tcPr>
          <w:p w:rsidR="00DB2295" w:rsidRPr="00DB2295" w:rsidRDefault="00DB2295" w:rsidP="00780E03">
            <w:pPr>
              <w:pStyle w:val="NoSpacing"/>
            </w:pPr>
            <w:r w:rsidRPr="00DB2295">
              <w:t>OUT-OF-SCOPE (Phase 2)</w:t>
            </w:r>
          </w:p>
        </w:tc>
      </w:tr>
      <w:tr w:rsidR="00DB2295" w:rsidTr="00DB2295">
        <w:tc>
          <w:tcPr>
            <w:tcW w:w="4135" w:type="dxa"/>
          </w:tcPr>
          <w:p w:rsidR="00DB2295" w:rsidRDefault="00DB2295" w:rsidP="00780E03">
            <w:pPr>
              <w:pStyle w:val="NoSpacing"/>
            </w:pPr>
            <w:r>
              <w:t>SSO &amp; Multi-tier Roles</w:t>
            </w:r>
          </w:p>
        </w:tc>
        <w:tc>
          <w:tcPr>
            <w:tcW w:w="5215" w:type="dxa"/>
          </w:tcPr>
          <w:p w:rsidR="00DB2295" w:rsidRDefault="00DB2295" w:rsidP="00780E03">
            <w:pPr>
              <w:pStyle w:val="NoSpacing"/>
            </w:pPr>
            <w:r>
              <w:t>AI Content Recommendations</w:t>
            </w:r>
          </w:p>
        </w:tc>
      </w:tr>
      <w:tr w:rsidR="00DB2295" w:rsidTr="00DB2295">
        <w:tc>
          <w:tcPr>
            <w:tcW w:w="4135" w:type="dxa"/>
          </w:tcPr>
          <w:p w:rsidR="00DB2295" w:rsidRDefault="00DB2295" w:rsidP="00780E03">
            <w:pPr>
              <w:pStyle w:val="NoSpacing"/>
            </w:pPr>
            <w:r>
              <w:t xml:space="preserve">SCORM / </w:t>
            </w:r>
            <w:proofErr w:type="spellStart"/>
            <w:r>
              <w:t>xAPI</w:t>
            </w:r>
            <w:proofErr w:type="spellEnd"/>
            <w:r>
              <w:t xml:space="preserve"> / Video Engine</w:t>
            </w:r>
          </w:p>
        </w:tc>
        <w:tc>
          <w:tcPr>
            <w:tcW w:w="5215" w:type="dxa"/>
          </w:tcPr>
          <w:p w:rsidR="00DB2295" w:rsidRDefault="00DB2295" w:rsidP="00780E03">
            <w:pPr>
              <w:pStyle w:val="NoSpacing"/>
            </w:pPr>
            <w:r>
              <w:t>E-commerce &amp; Course Monetization</w:t>
            </w:r>
          </w:p>
        </w:tc>
      </w:tr>
      <w:tr w:rsidR="00DB2295" w:rsidTr="00DB2295">
        <w:tc>
          <w:tcPr>
            <w:tcW w:w="4135" w:type="dxa"/>
          </w:tcPr>
          <w:p w:rsidR="00DB2295" w:rsidRDefault="00DB2295" w:rsidP="00780E03">
            <w:pPr>
              <w:pStyle w:val="NoSpacing"/>
            </w:pPr>
            <w:r>
              <w:t>Automated Certifications</w:t>
            </w:r>
          </w:p>
        </w:tc>
        <w:tc>
          <w:tcPr>
            <w:tcW w:w="5215" w:type="dxa"/>
          </w:tcPr>
          <w:p w:rsidR="00DB2295" w:rsidRDefault="00DB2295" w:rsidP="00780E03">
            <w:pPr>
              <w:pStyle w:val="NoSpacing"/>
            </w:pPr>
            <w:r>
              <w:t>VR / AR Immersive Modules</w:t>
            </w:r>
          </w:p>
        </w:tc>
      </w:tr>
      <w:tr w:rsidR="00DB2295" w:rsidTr="00DB2295">
        <w:tc>
          <w:tcPr>
            <w:tcW w:w="4135" w:type="dxa"/>
          </w:tcPr>
          <w:p w:rsidR="00DB2295" w:rsidRDefault="00DB2295" w:rsidP="00780E03">
            <w:pPr>
              <w:pStyle w:val="NoSpacing"/>
            </w:pPr>
            <w:r>
              <w:t>Core HRIS Data Synchronization</w:t>
            </w:r>
          </w:p>
        </w:tc>
        <w:tc>
          <w:tcPr>
            <w:tcW w:w="5215" w:type="dxa"/>
          </w:tcPr>
          <w:p w:rsidR="00DB2295" w:rsidRDefault="00DB2295" w:rsidP="00780E03">
            <w:pPr>
              <w:pStyle w:val="NoSpacing"/>
            </w:pPr>
            <w:r>
              <w:t>Native Mobile Apps (Web Responsive)</w:t>
            </w:r>
          </w:p>
        </w:tc>
      </w:tr>
    </w:tbl>
    <w:p w:rsidR="00170C2B" w:rsidRDefault="00170C2B" w:rsidP="00170C2B">
      <w:pPr>
        <w:pStyle w:val="Heading3"/>
      </w:pPr>
      <w:r>
        <w:t>Detailed In-Scope Breakdown (Phase 1 MVP)</w:t>
      </w:r>
    </w:p>
    <w:p w:rsidR="00170C2B" w:rsidRPr="00170C2B" w:rsidRDefault="00F71901" w:rsidP="00170C2B">
      <w:pPr>
        <w:pStyle w:val="Heading4"/>
      </w:pPr>
      <w:r>
        <w:t xml:space="preserve">1. </w:t>
      </w:r>
      <w:r w:rsidR="00170C2B" w:rsidRPr="00170C2B">
        <w:t>User &amp; Identity Management:</w:t>
      </w:r>
    </w:p>
    <w:p w:rsidR="00170C2B" w:rsidRPr="00F71901" w:rsidRDefault="00170C2B" w:rsidP="00F71901">
      <w:pPr>
        <w:pStyle w:val="NormalWeb"/>
        <w:numPr>
          <w:ilvl w:val="1"/>
          <w:numId w:val="6"/>
        </w:numPr>
        <w:tabs>
          <w:tab w:val="clear" w:pos="1440"/>
          <w:tab w:val="num" w:pos="630"/>
        </w:tabs>
        <w:ind w:left="810" w:hanging="270"/>
      </w:pPr>
      <w:r w:rsidRPr="00F71901">
        <w:rPr>
          <w:bCs/>
        </w:rPr>
        <w:t>Role-Based Access Control (RBAC):</w:t>
      </w:r>
      <w:r w:rsidRPr="00F71901">
        <w:t xml:space="preserve"> Distinct permission sets for </w:t>
      </w:r>
      <w:r w:rsidRPr="00F71901">
        <w:rPr>
          <w:i/>
          <w:iCs/>
        </w:rPr>
        <w:t>Learners</w:t>
      </w:r>
      <w:r w:rsidRPr="00F71901">
        <w:t xml:space="preserve">, </w:t>
      </w:r>
      <w:r w:rsidRPr="00F71901">
        <w:rPr>
          <w:i/>
          <w:iCs/>
        </w:rPr>
        <w:t>Instructors</w:t>
      </w:r>
      <w:r w:rsidRPr="00F71901">
        <w:t xml:space="preserve">, </w:t>
      </w:r>
      <w:r w:rsidRPr="00F71901">
        <w:rPr>
          <w:i/>
          <w:iCs/>
        </w:rPr>
        <w:t>Managers</w:t>
      </w:r>
      <w:r w:rsidRPr="00F71901">
        <w:t xml:space="preserve">, </w:t>
      </w:r>
      <w:r w:rsidRPr="00F71901">
        <w:rPr>
          <w:i/>
          <w:iCs/>
        </w:rPr>
        <w:t>Content Authors</w:t>
      </w:r>
      <w:r w:rsidRPr="00F71901">
        <w:t xml:space="preserve">, and </w:t>
      </w:r>
      <w:r w:rsidRPr="00F71901">
        <w:rPr>
          <w:i/>
          <w:iCs/>
        </w:rPr>
        <w:t>System Administrators</w:t>
      </w:r>
      <w:r w:rsidRPr="00F71901">
        <w:t>.</w:t>
      </w:r>
    </w:p>
    <w:p w:rsidR="00170C2B" w:rsidRPr="00F71901" w:rsidRDefault="00170C2B" w:rsidP="00F71901">
      <w:pPr>
        <w:pStyle w:val="NormalWeb"/>
        <w:numPr>
          <w:ilvl w:val="1"/>
          <w:numId w:val="6"/>
        </w:numPr>
        <w:tabs>
          <w:tab w:val="clear" w:pos="1440"/>
          <w:tab w:val="num" w:pos="630"/>
        </w:tabs>
        <w:ind w:left="810" w:hanging="270"/>
      </w:pPr>
      <w:r w:rsidRPr="00F71901">
        <w:rPr>
          <w:bCs/>
        </w:rPr>
        <w:t>Automated Provisioning:</w:t>
      </w:r>
      <w:r w:rsidRPr="00F71901">
        <w:t xml:space="preserve"> Real-time user creation and </w:t>
      </w:r>
      <w:r w:rsidR="00F71901" w:rsidRPr="00F71901">
        <w:t>DE provisioning</w:t>
      </w:r>
      <w:r w:rsidRPr="00F71901">
        <w:t xml:space="preserve"> via nightly batch sync or API integration with the HRIS (e.g., Workday, </w:t>
      </w:r>
      <w:r w:rsidR="00F71901" w:rsidRPr="00F71901">
        <w:t>Bamboo</w:t>
      </w:r>
      <w:r w:rsidR="00F71901">
        <w:t xml:space="preserve"> HR</w:t>
      </w:r>
      <w:r w:rsidRPr="00F71901">
        <w:t xml:space="preserve">, </w:t>
      </w:r>
      <w:proofErr w:type="gramStart"/>
      <w:r w:rsidRPr="00F71901">
        <w:t>SAP</w:t>
      </w:r>
      <w:proofErr w:type="gramEnd"/>
      <w:r w:rsidRPr="00F71901">
        <w:t xml:space="preserve"> </w:t>
      </w:r>
      <w:r w:rsidR="00F71901" w:rsidRPr="00F71901">
        <w:t>Success Factors</w:t>
      </w:r>
      <w:r w:rsidRPr="00F71901">
        <w:t>).</w:t>
      </w:r>
    </w:p>
    <w:p w:rsidR="00170C2B" w:rsidRDefault="00F71901" w:rsidP="00F71901">
      <w:pPr>
        <w:pStyle w:val="Heading4"/>
      </w:pPr>
      <w:r>
        <w:t xml:space="preserve">2. </w:t>
      </w:r>
      <w:r w:rsidR="00170C2B">
        <w:t>Content &amp; Course Management:</w:t>
      </w:r>
    </w:p>
    <w:p w:rsidR="00170C2B" w:rsidRDefault="00170C2B" w:rsidP="00F71901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Full compatibility with standard eLearning packages (</w:t>
      </w:r>
      <w:r>
        <w:rPr>
          <w:b/>
          <w:bCs/>
        </w:rPr>
        <w:t xml:space="preserve">SCORM 1.2, SCORM 2004, and </w:t>
      </w:r>
      <w:proofErr w:type="spellStart"/>
      <w:r>
        <w:rPr>
          <w:b/>
          <w:bCs/>
        </w:rPr>
        <w:t>xAPI</w:t>
      </w:r>
      <w:proofErr w:type="spellEnd"/>
      <w:r>
        <w:rPr>
          <w:b/>
          <w:bCs/>
        </w:rPr>
        <w:t xml:space="preserve"> / Tin Can API</w:t>
      </w:r>
      <w:r>
        <w:t>).</w:t>
      </w:r>
    </w:p>
    <w:p w:rsidR="00170C2B" w:rsidRDefault="00170C2B" w:rsidP="00F71901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Multimedia streaming (HLS protocol) supporting video, PDF guides, audio, and interactive knowledge checks.</w:t>
      </w:r>
    </w:p>
    <w:p w:rsidR="00170C2B" w:rsidRDefault="00170C2B" w:rsidP="00F71901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Centralized Content Repository with tagging and version control to avoid duplicate asset creation.</w:t>
      </w:r>
    </w:p>
    <w:p w:rsidR="00170C2B" w:rsidRDefault="00FD388B" w:rsidP="00FD388B">
      <w:pPr>
        <w:pStyle w:val="Heading4"/>
      </w:pPr>
      <w:r>
        <w:lastRenderedPageBreak/>
        <w:t xml:space="preserve">3. </w:t>
      </w:r>
      <w:r w:rsidR="00170C2B">
        <w:t>Progress, Assessment &amp; Certification Engine:</w:t>
      </w:r>
    </w:p>
    <w:p w:rsidR="00170C2B" w:rsidRDefault="00170C2B" w:rsidP="00FD388B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Automated grading engine for multiple-choice, true/false, and short-answer quizzes with randomized question pools.</w:t>
      </w:r>
    </w:p>
    <w:p w:rsidR="00170C2B" w:rsidRDefault="00170C2B" w:rsidP="00FD388B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Dynamic PDF certificate generator triggered automatically upon achieving passing scores.</w:t>
      </w:r>
    </w:p>
    <w:p w:rsidR="00170C2B" w:rsidRDefault="00170C2B" w:rsidP="00FD388B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Automated notification workflow sending initial assignments, weekly reminders, and escalation emails to line managers for overdue tasks.</w:t>
      </w:r>
    </w:p>
    <w:p w:rsidR="00170C2B" w:rsidRDefault="00FD388B" w:rsidP="00FD388B">
      <w:pPr>
        <w:pStyle w:val="Heading4"/>
      </w:pPr>
      <w:r>
        <w:t xml:space="preserve">4. </w:t>
      </w:r>
      <w:r w:rsidR="00170C2B">
        <w:t>Analytics &amp; Compliance Reporting:</w:t>
      </w:r>
    </w:p>
    <w:p w:rsidR="00170C2B" w:rsidRDefault="00170C2B" w:rsidP="006067C5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Real-time dashboard display for department heads showing team completion percentages.</w:t>
      </w:r>
    </w:p>
    <w:p w:rsidR="00170C2B" w:rsidRDefault="00170C2B" w:rsidP="006067C5">
      <w:pPr>
        <w:pStyle w:val="NormalWeb"/>
        <w:numPr>
          <w:ilvl w:val="1"/>
          <w:numId w:val="6"/>
        </w:numPr>
        <w:tabs>
          <w:tab w:val="clear" w:pos="1440"/>
          <w:tab w:val="num" w:pos="900"/>
        </w:tabs>
        <w:ind w:left="900"/>
      </w:pPr>
      <w:r>
        <w:t>One-click automated report generation for internal audit and compliance verifications.</w:t>
      </w:r>
    </w:p>
    <w:p w:rsidR="00170C2B" w:rsidRDefault="00170C2B" w:rsidP="006067C5">
      <w:pPr>
        <w:pStyle w:val="Heading3"/>
      </w:pPr>
      <w:r>
        <w:t>Out-of-Scope (Explicitly Deferred to Phase 2)</w:t>
      </w:r>
    </w:p>
    <w:p w:rsidR="00170C2B" w:rsidRDefault="00170C2B" w:rsidP="006067C5">
      <w:pPr>
        <w:pStyle w:val="NormalWeb"/>
        <w:numPr>
          <w:ilvl w:val="0"/>
          <w:numId w:val="9"/>
        </w:numPr>
      </w:pPr>
      <w:r>
        <w:t>Custom AI-driven recommendation engines (e.g., "Learners like you also took...").</w:t>
      </w:r>
    </w:p>
    <w:p w:rsidR="00170C2B" w:rsidRDefault="00170C2B" w:rsidP="006067C5">
      <w:pPr>
        <w:pStyle w:val="NormalWeb"/>
        <w:numPr>
          <w:ilvl w:val="0"/>
          <w:numId w:val="9"/>
        </w:numPr>
      </w:pPr>
      <w:r>
        <w:t>Built-in e-commerce storefront for selling courses to third-party clients.</w:t>
      </w:r>
    </w:p>
    <w:p w:rsidR="00170C2B" w:rsidRDefault="00170C2B" w:rsidP="006067C5">
      <w:pPr>
        <w:pStyle w:val="NormalWeb"/>
        <w:numPr>
          <w:ilvl w:val="0"/>
          <w:numId w:val="9"/>
        </w:numPr>
      </w:pPr>
      <w:r>
        <w:t>Virtual Reality (VR) or Augmented Reality (AR) interactive simulation engine.</w:t>
      </w:r>
    </w:p>
    <w:p w:rsidR="00170C2B" w:rsidRDefault="00170C2B" w:rsidP="006067C5">
      <w:pPr>
        <w:pStyle w:val="NormalWeb"/>
        <w:numPr>
          <w:ilvl w:val="0"/>
          <w:numId w:val="9"/>
        </w:numPr>
      </w:pPr>
      <w:r>
        <w:t>Native iOS/Android app development (Phase 1 relies on full mobile web responsiveness).</w:t>
      </w:r>
    </w:p>
    <w:p w:rsidR="00170C2B" w:rsidRDefault="00170C2B" w:rsidP="00170C2B">
      <w:pPr>
        <w:pStyle w:val="Heading4"/>
      </w:pPr>
      <w:r>
        <w:t>Change-Control Protocol (Scope Guardrails)</w:t>
      </w:r>
    </w:p>
    <w:p w:rsidR="00170C2B" w:rsidRDefault="00170C2B" w:rsidP="00780E03">
      <w:pPr>
        <w:pStyle w:val="NoSpacing"/>
      </w:pPr>
      <w:r w:rsidRPr="002D386F">
        <w:t xml:space="preserve">To prevent informal feature requests from compromising the schedule, any proposed change must undergo a formal </w:t>
      </w:r>
      <w:r w:rsidRPr="002D386F">
        <w:rPr>
          <w:bCs/>
        </w:rPr>
        <w:t>4-Step Gate Process</w:t>
      </w:r>
      <w:r w:rsidRPr="002D386F">
        <w:t>:</w:t>
      </w:r>
    </w:p>
    <w:p w:rsidR="002D386F" w:rsidRPr="002D386F" w:rsidRDefault="008D7DC4" w:rsidP="00780E03">
      <w:pPr>
        <w:pStyle w:val="NoSpacing"/>
      </w:pPr>
      <w:r>
        <w:rPr>
          <w:noProof/>
        </w:rPr>
        <w:drawing>
          <wp:inline distT="0" distB="0" distL="0" distR="0">
            <wp:extent cx="5924550" cy="3200400"/>
            <wp:effectExtent l="0" t="19050" r="0" b="381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170C2B" w:rsidRPr="007F2CA4" w:rsidRDefault="00170C2B" w:rsidP="007F2CA4">
      <w:pPr>
        <w:pStyle w:val="NormalWeb"/>
        <w:numPr>
          <w:ilvl w:val="0"/>
          <w:numId w:val="10"/>
        </w:numPr>
      </w:pPr>
      <w:r w:rsidRPr="007F2CA4">
        <w:rPr>
          <w:bCs/>
        </w:rPr>
        <w:lastRenderedPageBreak/>
        <w:t>Submission:</w:t>
      </w:r>
      <w:r w:rsidRPr="007F2CA4">
        <w:t xml:space="preserve"> A formal </w:t>
      </w:r>
      <w:r w:rsidRPr="007F2CA4">
        <w:rPr>
          <w:i/>
          <w:iCs/>
        </w:rPr>
        <w:t>Change Request Form (CRF)</w:t>
      </w:r>
      <w:r w:rsidRPr="007F2CA4">
        <w:t xml:space="preserve"> detailing the proposed addition and business justification must be submitted.</w:t>
      </w:r>
    </w:p>
    <w:p w:rsidR="00170C2B" w:rsidRPr="007F2CA4" w:rsidRDefault="00170C2B" w:rsidP="007F2CA4">
      <w:pPr>
        <w:pStyle w:val="NormalWeb"/>
        <w:numPr>
          <w:ilvl w:val="0"/>
          <w:numId w:val="10"/>
        </w:numPr>
      </w:pPr>
      <w:r w:rsidRPr="007F2CA4">
        <w:rPr>
          <w:bCs/>
        </w:rPr>
        <w:t>Impact Assessment:</w:t>
      </w:r>
      <w:r w:rsidRPr="007F2CA4">
        <w:t xml:space="preserve"> The PM and Tech Lead assess impact on three dimensions: </w:t>
      </w:r>
      <w:r w:rsidRPr="007F2CA4">
        <w:rPr>
          <w:bCs/>
        </w:rPr>
        <w:t>Budget ($)</w:t>
      </w:r>
      <w:r w:rsidRPr="007F2CA4">
        <w:t xml:space="preserve">, </w:t>
      </w:r>
      <w:r w:rsidRPr="007F2CA4">
        <w:rPr>
          <w:bCs/>
        </w:rPr>
        <w:t>Timeline (Days)</w:t>
      </w:r>
      <w:r w:rsidRPr="007F2CA4">
        <w:t xml:space="preserve">, and </w:t>
      </w:r>
      <w:r w:rsidRPr="007F2CA4">
        <w:rPr>
          <w:bCs/>
        </w:rPr>
        <w:t>Resource Availability</w:t>
      </w:r>
      <w:r w:rsidRPr="007F2CA4">
        <w:t>.</w:t>
      </w:r>
    </w:p>
    <w:p w:rsidR="00170C2B" w:rsidRPr="007F2CA4" w:rsidRDefault="00170C2B" w:rsidP="007F2CA4">
      <w:pPr>
        <w:pStyle w:val="NormalWeb"/>
        <w:numPr>
          <w:ilvl w:val="0"/>
          <w:numId w:val="10"/>
        </w:numPr>
      </w:pPr>
      <w:r w:rsidRPr="007F2CA4">
        <w:rPr>
          <w:bCs/>
        </w:rPr>
        <w:t>Review:</w:t>
      </w:r>
      <w:r w:rsidRPr="007F2CA4">
        <w:t xml:space="preserve"> The Change Control Board (Sponsor, PM, Tech Lead) reviews requests bi-weekly.</w:t>
      </w:r>
    </w:p>
    <w:p w:rsidR="00170C2B" w:rsidRPr="007F2CA4" w:rsidRDefault="00170C2B" w:rsidP="007F2CA4">
      <w:pPr>
        <w:pStyle w:val="NormalWeb"/>
        <w:numPr>
          <w:ilvl w:val="0"/>
          <w:numId w:val="10"/>
        </w:numPr>
      </w:pPr>
      <w:r w:rsidRPr="007F2CA4">
        <w:rPr>
          <w:bCs/>
        </w:rPr>
        <w:t>Approval &amp; Re-baselining:</w:t>
      </w:r>
      <w:r w:rsidRPr="007F2CA4">
        <w:t xml:space="preserve"> No code or configuration work begins without signed approval. If approved, schedule baseline and budget allocations are formally adjusted.</w:t>
      </w:r>
    </w:p>
    <w:p w:rsidR="004A35B2" w:rsidRDefault="004A35B2" w:rsidP="004A35B2">
      <w:pPr>
        <w:pStyle w:val="Heading2"/>
      </w:pPr>
      <w:r>
        <w:t>3. Value Alignment</w:t>
      </w:r>
    </w:p>
    <w:p w:rsidR="004A35B2" w:rsidRDefault="004A35B2" w:rsidP="004A35B2">
      <w:pPr>
        <w:pStyle w:val="NormalWeb"/>
        <w:ind w:firstLine="720"/>
      </w:pPr>
      <w:r>
        <w:t>Value alignment ensures that technology deliverables directly translate into tangible business benefits and user adoption.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420"/>
        <w:gridCol w:w="3325"/>
      </w:tblGrid>
      <w:tr w:rsidR="00C4577F" w:rsidTr="00780E03">
        <w:tc>
          <w:tcPr>
            <w:tcW w:w="260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Business Goal</w:t>
            </w:r>
          </w:p>
        </w:tc>
        <w:tc>
          <w:tcPr>
            <w:tcW w:w="3420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Technical / LMS Feature</w:t>
            </w:r>
          </w:p>
        </w:tc>
        <w:tc>
          <w:tcPr>
            <w:tcW w:w="332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Measurable Business Outcome</w:t>
            </w:r>
          </w:p>
        </w:tc>
      </w:tr>
      <w:tr w:rsidR="00C4577F" w:rsidTr="00780E03">
        <w:tc>
          <w:tcPr>
            <w:tcW w:w="260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Mitigate Regulatory Risk</w:t>
            </w:r>
          </w:p>
        </w:tc>
        <w:tc>
          <w:tcPr>
            <w:tcW w:w="3420" w:type="dxa"/>
          </w:tcPr>
          <w:p w:rsidR="00C4577F" w:rsidRDefault="00C4577F" w:rsidP="00780E03">
            <w:pPr>
              <w:pStyle w:val="NoSpacing"/>
            </w:pPr>
            <w:r>
              <w:t>Automated tracking &amp; mandatory compliance pathways</w:t>
            </w:r>
          </w:p>
        </w:tc>
        <w:tc>
          <w:tcPr>
            <w:tcW w:w="3325" w:type="dxa"/>
          </w:tcPr>
          <w:p w:rsidR="00C4577F" w:rsidRDefault="00C4577F" w:rsidP="00780E03">
            <w:pPr>
              <w:pStyle w:val="NoSpacing"/>
            </w:pPr>
            <w:r>
              <w:t>Zero non-compliance fines during annual audits; 100% verifiable record trail.</w:t>
            </w:r>
          </w:p>
        </w:tc>
      </w:tr>
      <w:tr w:rsidR="00C4577F" w:rsidTr="00780E03">
        <w:tc>
          <w:tcPr>
            <w:tcW w:w="260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Accelerate New Hire Readiness</w:t>
            </w:r>
          </w:p>
        </w:tc>
        <w:tc>
          <w:tcPr>
            <w:tcW w:w="3420" w:type="dxa"/>
          </w:tcPr>
          <w:p w:rsidR="00C4577F" w:rsidRDefault="00C4577F" w:rsidP="00780E03">
            <w:pPr>
              <w:pStyle w:val="NoSpacing"/>
            </w:pPr>
            <w:r>
              <w:t>Structured onboarding learning paths mapped to job roles</w:t>
            </w:r>
          </w:p>
        </w:tc>
        <w:tc>
          <w:tcPr>
            <w:tcW w:w="3325" w:type="dxa"/>
          </w:tcPr>
          <w:p w:rsidR="00C4577F" w:rsidRDefault="00C4577F" w:rsidP="00780E03">
            <w:pPr>
              <w:pStyle w:val="NoSpacing"/>
            </w:pPr>
            <w:r>
              <w:t>Reduced onboarding cycle time from 6 weeks to 3 weeks; faster revenue generation.</w:t>
            </w:r>
          </w:p>
        </w:tc>
      </w:tr>
      <w:tr w:rsidR="00C4577F" w:rsidTr="00780E03">
        <w:tc>
          <w:tcPr>
            <w:tcW w:w="260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Minimize Help Desk Overhead</w:t>
            </w:r>
          </w:p>
        </w:tc>
        <w:tc>
          <w:tcPr>
            <w:tcW w:w="3420" w:type="dxa"/>
          </w:tcPr>
          <w:p w:rsidR="00C4577F" w:rsidRDefault="00C4577F" w:rsidP="00780E03">
            <w:pPr>
              <w:pStyle w:val="NoSpacing"/>
            </w:pPr>
            <w:r>
              <w:t>Intuitive UX, SSO authentication, and self-service password reset</w:t>
            </w:r>
          </w:p>
        </w:tc>
        <w:tc>
          <w:tcPr>
            <w:tcW w:w="3325" w:type="dxa"/>
          </w:tcPr>
          <w:p w:rsidR="00C4577F" w:rsidRDefault="00C4577F" w:rsidP="00780E03">
            <w:pPr>
              <w:pStyle w:val="NoSpacing"/>
            </w:pPr>
            <w:r>
              <w:t>40% reduction in IT helpdesk tickets related to training platform access.</w:t>
            </w:r>
          </w:p>
        </w:tc>
      </w:tr>
      <w:tr w:rsidR="00C4577F" w:rsidTr="00780E03">
        <w:tc>
          <w:tcPr>
            <w:tcW w:w="2605" w:type="dxa"/>
          </w:tcPr>
          <w:p w:rsidR="00C4577F" w:rsidRPr="00780E03" w:rsidRDefault="00C4577F" w:rsidP="00780E03">
            <w:pPr>
              <w:pStyle w:val="NoSpacing"/>
              <w:rPr>
                <w:b/>
              </w:rPr>
            </w:pPr>
            <w:r w:rsidRPr="00780E03">
              <w:rPr>
                <w:b/>
              </w:rPr>
              <w:t>Promote Continuous Upskilling</w:t>
            </w:r>
          </w:p>
        </w:tc>
        <w:tc>
          <w:tcPr>
            <w:tcW w:w="3420" w:type="dxa"/>
          </w:tcPr>
          <w:p w:rsidR="00C4577F" w:rsidRDefault="00C4577F" w:rsidP="00780E03">
            <w:pPr>
              <w:pStyle w:val="NoSpacing"/>
            </w:pPr>
            <w:r>
              <w:t>Mobile-responsive design &amp; self-paced learning catalog</w:t>
            </w:r>
          </w:p>
        </w:tc>
        <w:tc>
          <w:tcPr>
            <w:tcW w:w="3325" w:type="dxa"/>
          </w:tcPr>
          <w:p w:rsidR="00C4577F" w:rsidRDefault="00C4577F" w:rsidP="00780E03">
            <w:pPr>
              <w:pStyle w:val="NoSpacing"/>
            </w:pPr>
            <w:r>
              <w:t>Increased voluntary course completion by 35% across non-mandatory skills catalogs.</w:t>
            </w:r>
          </w:p>
        </w:tc>
      </w:tr>
    </w:tbl>
    <w:p w:rsidR="00170C2B" w:rsidRDefault="00170C2B" w:rsidP="00780E03">
      <w:pPr>
        <w:pStyle w:val="NoSpacing"/>
      </w:pPr>
    </w:p>
    <w:p w:rsidR="005A1798" w:rsidRPr="002E1DAA" w:rsidRDefault="005A1798" w:rsidP="00780E03">
      <w:pPr>
        <w:pStyle w:val="NoSpacing"/>
      </w:pPr>
      <w:bookmarkStart w:id="0" w:name="_GoBack"/>
      <w:bookmarkEnd w:id="0"/>
    </w:p>
    <w:p w:rsidR="00905860" w:rsidRPr="006B1084" w:rsidRDefault="00905860" w:rsidP="00905860">
      <w:pPr>
        <w:pStyle w:val="NormalWeb"/>
      </w:pPr>
    </w:p>
    <w:p w:rsidR="00AE1ED8" w:rsidRPr="0084537E" w:rsidRDefault="00AE1ED8" w:rsidP="00780E03">
      <w:pPr>
        <w:pStyle w:val="NoSpacing"/>
      </w:pPr>
    </w:p>
    <w:sectPr w:rsidR="00AE1ED8" w:rsidRPr="0084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500A8"/>
    <w:multiLevelType w:val="hybridMultilevel"/>
    <w:tmpl w:val="A950111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3A0E4A"/>
    <w:multiLevelType w:val="multilevel"/>
    <w:tmpl w:val="CA54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A1B99"/>
    <w:multiLevelType w:val="hybridMultilevel"/>
    <w:tmpl w:val="D172BA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10028"/>
    <w:multiLevelType w:val="multilevel"/>
    <w:tmpl w:val="4D6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45E9"/>
    <w:multiLevelType w:val="multilevel"/>
    <w:tmpl w:val="8C5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57D18"/>
    <w:multiLevelType w:val="hybridMultilevel"/>
    <w:tmpl w:val="94529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A05E5"/>
    <w:multiLevelType w:val="multilevel"/>
    <w:tmpl w:val="A31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304CF"/>
    <w:multiLevelType w:val="hybridMultilevel"/>
    <w:tmpl w:val="4F68B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C31E91"/>
    <w:multiLevelType w:val="multilevel"/>
    <w:tmpl w:val="A326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E171C"/>
    <w:multiLevelType w:val="multilevel"/>
    <w:tmpl w:val="6F5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1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39F"/>
    <w:rsid w:val="00081642"/>
    <w:rsid w:val="000D3286"/>
    <w:rsid w:val="000E7C02"/>
    <w:rsid w:val="00170C2B"/>
    <w:rsid w:val="0022697A"/>
    <w:rsid w:val="002D386F"/>
    <w:rsid w:val="002E1DAA"/>
    <w:rsid w:val="004A35B2"/>
    <w:rsid w:val="004A3EC6"/>
    <w:rsid w:val="0057059F"/>
    <w:rsid w:val="005A1798"/>
    <w:rsid w:val="005B21E7"/>
    <w:rsid w:val="006067C5"/>
    <w:rsid w:val="00634C2F"/>
    <w:rsid w:val="006B1084"/>
    <w:rsid w:val="00780E03"/>
    <w:rsid w:val="007D7409"/>
    <w:rsid w:val="007F2CA4"/>
    <w:rsid w:val="0084537E"/>
    <w:rsid w:val="008929BF"/>
    <w:rsid w:val="008D7DC4"/>
    <w:rsid w:val="009038F2"/>
    <w:rsid w:val="00905860"/>
    <w:rsid w:val="009D2A86"/>
    <w:rsid w:val="00A346D3"/>
    <w:rsid w:val="00AE1ED8"/>
    <w:rsid w:val="00B637FB"/>
    <w:rsid w:val="00C20C12"/>
    <w:rsid w:val="00C4577F"/>
    <w:rsid w:val="00C8539F"/>
    <w:rsid w:val="00CB528B"/>
    <w:rsid w:val="00D126E2"/>
    <w:rsid w:val="00D3240A"/>
    <w:rsid w:val="00DB2295"/>
    <w:rsid w:val="00E67123"/>
    <w:rsid w:val="00EA1610"/>
    <w:rsid w:val="00F71901"/>
    <w:rsid w:val="00F9074C"/>
    <w:rsid w:val="00FD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BFF69-C315-451F-9F1F-0D147241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7C02"/>
    <w:pPr>
      <w:keepNext/>
      <w:keepLines/>
      <w:spacing w:before="100" w:beforeAutospacing="1" w:after="100" w:afterAutospacing="1" w:line="24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E7C02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5860"/>
    <w:pPr>
      <w:keepNext/>
      <w:spacing w:before="100" w:beforeAutospacing="1" w:after="100" w:afterAutospacing="1" w:line="240" w:lineRule="auto"/>
      <w:outlineLvl w:val="2"/>
    </w:pPr>
    <w:rPr>
      <w:rFonts w:ascii="Times New Roman" w:hAnsi="Symbol" w:cs="Times New Roman"/>
      <w:b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0C2B"/>
    <w:pPr>
      <w:keepNext/>
      <w:keepLines/>
      <w:spacing w:before="100" w:beforeAutospacing="1" w:after="100" w:afterAutospacing="1" w:line="240" w:lineRule="auto"/>
      <w:outlineLvl w:val="3"/>
    </w:pPr>
    <w:rPr>
      <w:rFonts w:ascii="Times New Roman" w:eastAsiaTheme="majorEastAsia" w:hAnsi="Times New Roman" w:cs="Times New Roman"/>
      <w:b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5860"/>
    <w:rPr>
      <w:rFonts w:ascii="Times New Roman" w:hAnsi="Symbol" w:cs="Times New Roman"/>
      <w:b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0E7C02"/>
    <w:rPr>
      <w:rFonts w:ascii="Times New Roman" w:eastAsiaTheme="majorEastAsia" w:hAnsi="Times New Roman" w:cstheme="majorBidi"/>
      <w:b/>
      <w:sz w:val="32"/>
      <w:szCs w:val="32"/>
    </w:rPr>
  </w:style>
  <w:style w:type="paragraph" w:styleId="NoSpacing">
    <w:name w:val="No Spacing"/>
    <w:autoRedefine/>
    <w:uiPriority w:val="1"/>
    <w:qFormat/>
    <w:rsid w:val="00780E03"/>
    <w:pPr>
      <w:spacing w:before="120" w:after="12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226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E7C02"/>
    <w:rPr>
      <w:rFonts w:ascii="Times New Roman" w:eastAsiaTheme="majorEastAsia" w:hAnsi="Times New Roman" w:cstheme="majorBidi"/>
      <w:b/>
      <w:sz w:val="28"/>
      <w:szCs w:val="26"/>
    </w:rPr>
  </w:style>
  <w:style w:type="table" w:styleId="TableGrid">
    <w:name w:val="Table Grid"/>
    <w:basedOn w:val="TableNormal"/>
    <w:uiPriority w:val="39"/>
    <w:rsid w:val="00B6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58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70C2B"/>
    <w:rPr>
      <w:rFonts w:ascii="Times New Roman" w:eastAsiaTheme="majorEastAsia" w:hAnsi="Times New Roman" w:cs="Times New Roman"/>
      <w:b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C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0C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3E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7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A7AD49-7D11-4D45-B080-BB0E949DA54C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FC5F6FD-4587-4CA2-8938-E5F4719559BF}">
      <dgm:prSet phldrT="[Text]"/>
      <dgm:spPr/>
      <dgm:t>
        <a:bodyPr/>
        <a:lstStyle/>
        <a:p>
          <a:r>
            <a:rPr lang="en-US"/>
            <a:t>Change Request </a:t>
          </a:r>
        </a:p>
      </dgm:t>
    </dgm:pt>
    <dgm:pt modelId="{032EFDE9-B24C-4837-A40A-1658061B3F0D}" type="parTrans" cxnId="{D0D11527-7F9A-48BD-BA23-646833F62CCD}">
      <dgm:prSet/>
      <dgm:spPr/>
      <dgm:t>
        <a:bodyPr/>
        <a:lstStyle/>
        <a:p>
          <a:endParaRPr lang="en-US"/>
        </a:p>
      </dgm:t>
    </dgm:pt>
    <dgm:pt modelId="{01A34427-429C-4B83-A9AF-48DAECE6779C}" type="sibTrans" cxnId="{D0D11527-7F9A-48BD-BA23-646833F62CCD}">
      <dgm:prSet/>
      <dgm:spPr/>
      <dgm:t>
        <a:bodyPr/>
        <a:lstStyle/>
        <a:p>
          <a:endParaRPr lang="en-US"/>
        </a:p>
      </dgm:t>
    </dgm:pt>
    <dgm:pt modelId="{D762B449-A879-4D1E-873B-3F168416801A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Submitted in writing with business rationale</a:t>
          </a:r>
        </a:p>
      </dgm:t>
    </dgm:pt>
    <dgm:pt modelId="{3F10F2CA-5088-40B2-B66A-221A3284DF65}" type="parTrans" cxnId="{93CD7F8D-BDCB-4112-9A75-8E4116464BA5}">
      <dgm:prSet/>
      <dgm:spPr/>
      <dgm:t>
        <a:bodyPr/>
        <a:lstStyle/>
        <a:p>
          <a:endParaRPr lang="en-US"/>
        </a:p>
      </dgm:t>
    </dgm:pt>
    <dgm:pt modelId="{5D4DAFAE-ADD5-4EF1-B01E-7B1913312CB8}" type="sibTrans" cxnId="{93CD7F8D-BDCB-4112-9A75-8E4116464BA5}">
      <dgm:prSet/>
      <dgm:spPr/>
      <dgm:t>
        <a:bodyPr/>
        <a:lstStyle/>
        <a:p>
          <a:endParaRPr lang="en-US"/>
        </a:p>
      </dgm:t>
    </dgm:pt>
    <dgm:pt modelId="{40585F13-E9B8-4F61-BC2F-DA466026B23A}">
      <dgm:prSet phldrT="[Text]"/>
      <dgm:spPr/>
      <dgm:t>
        <a:bodyPr/>
        <a:lstStyle/>
        <a:p>
          <a:r>
            <a:rPr lang="en-US"/>
            <a:t>Impact Analysis </a:t>
          </a:r>
        </a:p>
      </dgm:t>
    </dgm:pt>
    <dgm:pt modelId="{7200F5AC-9BA2-4910-9A82-769C97AECAF2}" type="parTrans" cxnId="{D27C2D9A-6ADE-4A84-B052-FF2840F1C918}">
      <dgm:prSet/>
      <dgm:spPr/>
      <dgm:t>
        <a:bodyPr/>
        <a:lstStyle/>
        <a:p>
          <a:endParaRPr lang="en-US"/>
        </a:p>
      </dgm:t>
    </dgm:pt>
    <dgm:pt modelId="{29AB8C44-6BEF-411D-BB03-EAD45F6B3217}" type="sibTrans" cxnId="{D27C2D9A-6ADE-4A84-B052-FF2840F1C918}">
      <dgm:prSet/>
      <dgm:spPr/>
      <dgm:t>
        <a:bodyPr/>
        <a:lstStyle/>
        <a:p>
          <a:endParaRPr lang="en-US"/>
        </a:p>
      </dgm:t>
    </dgm:pt>
    <dgm:pt modelId="{3D0CF9DB-446D-40D5-9758-AC6517EEF5A0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PM &amp; Tech lead assess budget, time &amp; Risk</a:t>
          </a:r>
          <a:endParaRPr lang="en-US" sz="1200"/>
        </a:p>
      </dgm:t>
    </dgm:pt>
    <dgm:pt modelId="{93A855FE-6EF3-4688-8BCB-A91C5B4C6850}" type="parTrans" cxnId="{FBB2F487-D2B1-4A6E-B94D-0C68ABB60362}">
      <dgm:prSet/>
      <dgm:spPr/>
      <dgm:t>
        <a:bodyPr/>
        <a:lstStyle/>
        <a:p>
          <a:endParaRPr lang="en-US"/>
        </a:p>
      </dgm:t>
    </dgm:pt>
    <dgm:pt modelId="{E46D3DB3-B6FD-420B-BCD4-2CB3EC736C2A}" type="sibTrans" cxnId="{FBB2F487-D2B1-4A6E-B94D-0C68ABB60362}">
      <dgm:prSet/>
      <dgm:spPr/>
      <dgm:t>
        <a:bodyPr/>
        <a:lstStyle/>
        <a:p>
          <a:endParaRPr lang="en-US"/>
        </a:p>
      </dgm:t>
    </dgm:pt>
    <dgm:pt modelId="{3E8F6473-635E-4778-B53D-5B1A385A416A}">
      <dgm:prSet phldrT="[Text]"/>
      <dgm:spPr/>
      <dgm:t>
        <a:bodyPr/>
        <a:lstStyle/>
        <a:p>
          <a:r>
            <a:rPr lang="en-US"/>
            <a:t>CAB Review </a:t>
          </a:r>
        </a:p>
      </dgm:t>
    </dgm:pt>
    <dgm:pt modelId="{2D6A6325-F90E-49B0-AA9C-B0A38813C582}" type="parTrans" cxnId="{BC9A8C0B-0380-43C0-80F6-AA6BDE5469FC}">
      <dgm:prSet/>
      <dgm:spPr/>
      <dgm:t>
        <a:bodyPr/>
        <a:lstStyle/>
        <a:p>
          <a:endParaRPr lang="en-US"/>
        </a:p>
      </dgm:t>
    </dgm:pt>
    <dgm:pt modelId="{D90898B4-2B1D-4A8C-B375-01AC670D6FD8}" type="sibTrans" cxnId="{BC9A8C0B-0380-43C0-80F6-AA6BDE5469FC}">
      <dgm:prSet/>
      <dgm:spPr/>
      <dgm:t>
        <a:bodyPr/>
        <a:lstStyle/>
        <a:p>
          <a:endParaRPr lang="en-US"/>
        </a:p>
      </dgm:t>
    </dgm:pt>
    <dgm:pt modelId="{EDC4139E-207E-4B7C-8D3D-1377B7C77361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Change control board approves / rejects</a:t>
          </a:r>
        </a:p>
      </dgm:t>
    </dgm:pt>
    <dgm:pt modelId="{D927FADB-143C-4A7F-A9F1-2CB721832D70}" type="parTrans" cxnId="{2C188304-EC3C-479F-9EE2-9C45487B295F}">
      <dgm:prSet/>
      <dgm:spPr/>
      <dgm:t>
        <a:bodyPr/>
        <a:lstStyle/>
        <a:p>
          <a:endParaRPr lang="en-US"/>
        </a:p>
      </dgm:t>
    </dgm:pt>
    <dgm:pt modelId="{344CCD0D-ADA9-4D3A-A509-364CB88DBEFC}" type="sibTrans" cxnId="{2C188304-EC3C-479F-9EE2-9C45487B295F}">
      <dgm:prSet/>
      <dgm:spPr/>
      <dgm:t>
        <a:bodyPr/>
        <a:lstStyle/>
        <a:p>
          <a:endParaRPr lang="en-US"/>
        </a:p>
      </dgm:t>
    </dgm:pt>
    <dgm:pt modelId="{BC5F6E15-6D0C-4F6A-B51A-5B25ACDCDD97}">
      <dgm:prSet phldrT="[Text]"/>
      <dgm:spPr/>
      <dgm:t>
        <a:bodyPr/>
        <a:lstStyle/>
        <a:p>
          <a:r>
            <a:rPr lang="en-US"/>
            <a:t>Formal Sign-off </a:t>
          </a:r>
        </a:p>
      </dgm:t>
    </dgm:pt>
    <dgm:pt modelId="{67E91CAC-83A3-4D15-BBF4-8F5B675E9EF8}" type="parTrans" cxnId="{7D73C49C-CB02-49A8-B43B-764ECCE33353}">
      <dgm:prSet/>
      <dgm:spPr/>
      <dgm:t>
        <a:bodyPr/>
        <a:lstStyle/>
        <a:p>
          <a:endParaRPr lang="en-US"/>
        </a:p>
      </dgm:t>
    </dgm:pt>
    <dgm:pt modelId="{A5D0D227-5F06-4E31-8B1B-EAE8128B5139}" type="sibTrans" cxnId="{7D73C49C-CB02-49A8-B43B-764ECCE33353}">
      <dgm:prSet/>
      <dgm:spPr/>
      <dgm:t>
        <a:bodyPr/>
        <a:lstStyle/>
        <a:p>
          <a:endParaRPr lang="en-US"/>
        </a:p>
      </dgm:t>
    </dgm:pt>
    <dgm:pt modelId="{8D91F967-E41B-409A-B4B0-4066B5EAC4FE}">
      <dgm:prSet phldrT="[Text]" custT="1"/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Sponsor sign off budget/schedule updated</a:t>
          </a:r>
        </a:p>
      </dgm:t>
    </dgm:pt>
    <dgm:pt modelId="{52719AC8-0485-42BF-BF41-492E2F58FBB8}" type="parTrans" cxnId="{53028F4F-4853-4580-BCDC-61AA0E6BE6A3}">
      <dgm:prSet/>
      <dgm:spPr/>
      <dgm:t>
        <a:bodyPr/>
        <a:lstStyle/>
        <a:p>
          <a:endParaRPr lang="en-US"/>
        </a:p>
      </dgm:t>
    </dgm:pt>
    <dgm:pt modelId="{F617D543-2C49-4339-A0BC-959E05D06AF5}" type="sibTrans" cxnId="{53028F4F-4853-4580-BCDC-61AA0E6BE6A3}">
      <dgm:prSet/>
      <dgm:spPr/>
      <dgm:t>
        <a:bodyPr/>
        <a:lstStyle/>
        <a:p>
          <a:endParaRPr lang="en-US"/>
        </a:p>
      </dgm:t>
    </dgm:pt>
    <dgm:pt modelId="{538AA80C-E699-47A0-A673-580262749B43}" type="pres">
      <dgm:prSet presAssocID="{17A7AD49-7D11-4D45-B080-BB0E949DA54C}" presName="linearFlow" presStyleCnt="0">
        <dgm:presLayoutVars>
          <dgm:dir/>
          <dgm:animLvl val="lvl"/>
          <dgm:resizeHandles val="exact"/>
        </dgm:presLayoutVars>
      </dgm:prSet>
      <dgm:spPr/>
    </dgm:pt>
    <dgm:pt modelId="{680469D8-9862-4EB0-A4B7-D5E53686E38C}" type="pres">
      <dgm:prSet presAssocID="{2FC5F6FD-4587-4CA2-8938-E5F4719559BF}" presName="composite" presStyleCnt="0"/>
      <dgm:spPr/>
    </dgm:pt>
    <dgm:pt modelId="{BDCF78D5-455D-4D59-B9AD-21AC3AC90E60}" type="pres">
      <dgm:prSet presAssocID="{2FC5F6FD-4587-4CA2-8938-E5F4719559BF}" presName="parentText" presStyleLbl="align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AA51838-F5E9-435E-9F7E-F4ABB3B26E1C}" type="pres">
      <dgm:prSet presAssocID="{2FC5F6FD-4587-4CA2-8938-E5F4719559BF}" presName="descendantText" presStyleLbl="alignAcc1" presStyleIdx="0" presStyleCnt="4" custScaleX="9021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346602F-88D7-414C-A459-CEA84B94F5EF}" type="pres">
      <dgm:prSet presAssocID="{01A34427-429C-4B83-A9AF-48DAECE6779C}" presName="sp" presStyleCnt="0"/>
      <dgm:spPr/>
    </dgm:pt>
    <dgm:pt modelId="{0FFEE3C9-B017-41F1-8C05-64894A38C95C}" type="pres">
      <dgm:prSet presAssocID="{40585F13-E9B8-4F61-BC2F-DA466026B23A}" presName="composite" presStyleCnt="0"/>
      <dgm:spPr/>
    </dgm:pt>
    <dgm:pt modelId="{AD0C2431-DAAB-427A-B631-B49CE6C2EB9E}" type="pres">
      <dgm:prSet presAssocID="{40585F13-E9B8-4F61-BC2F-DA466026B23A}" presName="parentText" presStyleLbl="alignNode1" presStyleIdx="1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B342B80-8927-4B4F-96AB-BC973B97FB50}" type="pres">
      <dgm:prSet presAssocID="{40585F13-E9B8-4F61-BC2F-DA466026B23A}" presName="descendantText" presStyleLbl="alignAcc1" presStyleIdx="1" presStyleCnt="4" custScaleX="8985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0F7F952-4798-4436-B620-18B6683E8D0E}" type="pres">
      <dgm:prSet presAssocID="{29AB8C44-6BEF-411D-BB03-EAD45F6B3217}" presName="sp" presStyleCnt="0"/>
      <dgm:spPr/>
    </dgm:pt>
    <dgm:pt modelId="{A46A516C-CE80-493C-B424-4F29D64A016A}" type="pres">
      <dgm:prSet presAssocID="{3E8F6473-635E-4778-B53D-5B1A385A416A}" presName="composite" presStyleCnt="0"/>
      <dgm:spPr/>
    </dgm:pt>
    <dgm:pt modelId="{87BFEF56-210C-42DF-91C2-571F89A78C23}" type="pres">
      <dgm:prSet presAssocID="{3E8F6473-635E-4778-B53D-5B1A385A416A}" presName="parentText" presStyleLbl="align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07F959B-CC0F-4F7D-8579-EB03F7950B69}" type="pres">
      <dgm:prSet presAssocID="{3E8F6473-635E-4778-B53D-5B1A385A416A}" presName="descendantText" presStyleLbl="alignAcc1" presStyleIdx="2" presStyleCnt="4" custScaleX="9024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007853F-91C3-4DD3-8F85-F257D25993DB}" type="pres">
      <dgm:prSet presAssocID="{D90898B4-2B1D-4A8C-B375-01AC670D6FD8}" presName="sp" presStyleCnt="0"/>
      <dgm:spPr/>
    </dgm:pt>
    <dgm:pt modelId="{AC4FB824-4777-4FD1-9946-3316E35BFC7D}" type="pres">
      <dgm:prSet presAssocID="{BC5F6E15-6D0C-4F6A-B51A-5B25ACDCDD97}" presName="composite" presStyleCnt="0"/>
      <dgm:spPr/>
    </dgm:pt>
    <dgm:pt modelId="{C04FCE02-EC6A-4673-8047-BB9944B144B9}" type="pres">
      <dgm:prSet presAssocID="{BC5F6E15-6D0C-4F6A-B51A-5B25ACDCDD97}" presName="parentText" presStyleLbl="alignNode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8BEC772-A0B6-43B8-98FD-0A0EBBB75BB4}" type="pres">
      <dgm:prSet presAssocID="{BC5F6E15-6D0C-4F6A-B51A-5B25ACDCDD97}" presName="descendantText" presStyleLbl="alignAcc1" presStyleIdx="3" presStyleCnt="4" custScaleX="9024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C188304-EC3C-479F-9EE2-9C45487B295F}" srcId="{3E8F6473-635E-4778-B53D-5B1A385A416A}" destId="{EDC4139E-207E-4B7C-8D3D-1377B7C77361}" srcOrd="0" destOrd="0" parTransId="{D927FADB-143C-4A7F-A9F1-2CB721832D70}" sibTransId="{344CCD0D-ADA9-4D3A-A509-364CB88DBEFC}"/>
    <dgm:cxn modelId="{93CD7F8D-BDCB-4112-9A75-8E4116464BA5}" srcId="{2FC5F6FD-4587-4CA2-8938-E5F4719559BF}" destId="{D762B449-A879-4D1E-873B-3F168416801A}" srcOrd="0" destOrd="0" parTransId="{3F10F2CA-5088-40B2-B66A-221A3284DF65}" sibTransId="{5D4DAFAE-ADD5-4EF1-B01E-7B1913312CB8}"/>
    <dgm:cxn modelId="{BC9A8C0B-0380-43C0-80F6-AA6BDE5469FC}" srcId="{17A7AD49-7D11-4D45-B080-BB0E949DA54C}" destId="{3E8F6473-635E-4778-B53D-5B1A385A416A}" srcOrd="2" destOrd="0" parTransId="{2D6A6325-F90E-49B0-AA9C-B0A38813C582}" sibTransId="{D90898B4-2B1D-4A8C-B375-01AC670D6FD8}"/>
    <dgm:cxn modelId="{A25228EE-E84F-4C86-8220-41E2C62EAD4E}" type="presOf" srcId="{40585F13-E9B8-4F61-BC2F-DA466026B23A}" destId="{AD0C2431-DAAB-427A-B631-B49CE6C2EB9E}" srcOrd="0" destOrd="0" presId="urn:microsoft.com/office/officeart/2005/8/layout/chevron2"/>
    <dgm:cxn modelId="{0CD63734-1251-47CF-9D0B-35367944353A}" type="presOf" srcId="{D762B449-A879-4D1E-873B-3F168416801A}" destId="{FAA51838-F5E9-435E-9F7E-F4ABB3B26E1C}" srcOrd="0" destOrd="0" presId="urn:microsoft.com/office/officeart/2005/8/layout/chevron2"/>
    <dgm:cxn modelId="{6C4D0CFD-309C-4E4B-8D12-349B225C39A9}" type="presOf" srcId="{EDC4139E-207E-4B7C-8D3D-1377B7C77361}" destId="{007F959B-CC0F-4F7D-8579-EB03F7950B69}" srcOrd="0" destOrd="0" presId="urn:microsoft.com/office/officeart/2005/8/layout/chevron2"/>
    <dgm:cxn modelId="{D97EB1E6-F027-4EC5-BD92-EC0A1B7E7B65}" type="presOf" srcId="{2FC5F6FD-4587-4CA2-8938-E5F4719559BF}" destId="{BDCF78D5-455D-4D59-B9AD-21AC3AC90E60}" srcOrd="0" destOrd="0" presId="urn:microsoft.com/office/officeart/2005/8/layout/chevron2"/>
    <dgm:cxn modelId="{D8817606-6620-4017-BB05-9BCC339F9719}" type="presOf" srcId="{3E8F6473-635E-4778-B53D-5B1A385A416A}" destId="{87BFEF56-210C-42DF-91C2-571F89A78C23}" srcOrd="0" destOrd="0" presId="urn:microsoft.com/office/officeart/2005/8/layout/chevron2"/>
    <dgm:cxn modelId="{FBB2F487-D2B1-4A6E-B94D-0C68ABB60362}" srcId="{40585F13-E9B8-4F61-BC2F-DA466026B23A}" destId="{3D0CF9DB-446D-40D5-9758-AC6517EEF5A0}" srcOrd="0" destOrd="0" parTransId="{93A855FE-6EF3-4688-8BCB-A91C5B4C6850}" sibTransId="{E46D3DB3-B6FD-420B-BCD4-2CB3EC736C2A}"/>
    <dgm:cxn modelId="{D0D11527-7F9A-48BD-BA23-646833F62CCD}" srcId="{17A7AD49-7D11-4D45-B080-BB0E949DA54C}" destId="{2FC5F6FD-4587-4CA2-8938-E5F4719559BF}" srcOrd="0" destOrd="0" parTransId="{032EFDE9-B24C-4837-A40A-1658061B3F0D}" sibTransId="{01A34427-429C-4B83-A9AF-48DAECE6779C}"/>
    <dgm:cxn modelId="{D2AEB5DA-E150-4349-BE16-485DD5779B95}" type="presOf" srcId="{8D91F967-E41B-409A-B4B0-4066B5EAC4FE}" destId="{98BEC772-A0B6-43B8-98FD-0A0EBBB75BB4}" srcOrd="0" destOrd="0" presId="urn:microsoft.com/office/officeart/2005/8/layout/chevron2"/>
    <dgm:cxn modelId="{E3333045-AEA1-4275-A84E-89A94F7893FE}" type="presOf" srcId="{BC5F6E15-6D0C-4F6A-B51A-5B25ACDCDD97}" destId="{C04FCE02-EC6A-4673-8047-BB9944B144B9}" srcOrd="0" destOrd="0" presId="urn:microsoft.com/office/officeart/2005/8/layout/chevron2"/>
    <dgm:cxn modelId="{53028F4F-4853-4580-BCDC-61AA0E6BE6A3}" srcId="{BC5F6E15-6D0C-4F6A-B51A-5B25ACDCDD97}" destId="{8D91F967-E41B-409A-B4B0-4066B5EAC4FE}" srcOrd="0" destOrd="0" parTransId="{52719AC8-0485-42BF-BF41-492E2F58FBB8}" sibTransId="{F617D543-2C49-4339-A0BC-959E05D06AF5}"/>
    <dgm:cxn modelId="{DF1435D8-DE22-4419-9633-D7A09D084C61}" type="presOf" srcId="{17A7AD49-7D11-4D45-B080-BB0E949DA54C}" destId="{538AA80C-E699-47A0-A673-580262749B43}" srcOrd="0" destOrd="0" presId="urn:microsoft.com/office/officeart/2005/8/layout/chevron2"/>
    <dgm:cxn modelId="{D27C2D9A-6ADE-4A84-B052-FF2840F1C918}" srcId="{17A7AD49-7D11-4D45-B080-BB0E949DA54C}" destId="{40585F13-E9B8-4F61-BC2F-DA466026B23A}" srcOrd="1" destOrd="0" parTransId="{7200F5AC-9BA2-4910-9A82-769C97AECAF2}" sibTransId="{29AB8C44-6BEF-411D-BB03-EAD45F6B3217}"/>
    <dgm:cxn modelId="{E0F937AD-C2F1-4BBB-BEB4-F47420ADBE80}" type="presOf" srcId="{3D0CF9DB-446D-40D5-9758-AC6517EEF5A0}" destId="{FB342B80-8927-4B4F-96AB-BC973B97FB50}" srcOrd="0" destOrd="0" presId="urn:microsoft.com/office/officeart/2005/8/layout/chevron2"/>
    <dgm:cxn modelId="{7D73C49C-CB02-49A8-B43B-764ECCE33353}" srcId="{17A7AD49-7D11-4D45-B080-BB0E949DA54C}" destId="{BC5F6E15-6D0C-4F6A-B51A-5B25ACDCDD97}" srcOrd="3" destOrd="0" parTransId="{67E91CAC-83A3-4D15-BBF4-8F5B675E9EF8}" sibTransId="{A5D0D227-5F06-4E31-8B1B-EAE8128B5139}"/>
    <dgm:cxn modelId="{AB779D8F-BFDF-4257-B4F1-477797291224}" type="presParOf" srcId="{538AA80C-E699-47A0-A673-580262749B43}" destId="{680469D8-9862-4EB0-A4B7-D5E53686E38C}" srcOrd="0" destOrd="0" presId="urn:microsoft.com/office/officeart/2005/8/layout/chevron2"/>
    <dgm:cxn modelId="{644440CF-9D55-4CFE-A9AE-016036DEC5D4}" type="presParOf" srcId="{680469D8-9862-4EB0-A4B7-D5E53686E38C}" destId="{BDCF78D5-455D-4D59-B9AD-21AC3AC90E60}" srcOrd="0" destOrd="0" presId="urn:microsoft.com/office/officeart/2005/8/layout/chevron2"/>
    <dgm:cxn modelId="{183A1BE1-A19C-414C-9A21-30E3536905AA}" type="presParOf" srcId="{680469D8-9862-4EB0-A4B7-D5E53686E38C}" destId="{FAA51838-F5E9-435E-9F7E-F4ABB3B26E1C}" srcOrd="1" destOrd="0" presId="urn:microsoft.com/office/officeart/2005/8/layout/chevron2"/>
    <dgm:cxn modelId="{39C13F2B-F455-4388-BC19-418498C520D2}" type="presParOf" srcId="{538AA80C-E699-47A0-A673-580262749B43}" destId="{8346602F-88D7-414C-A459-CEA84B94F5EF}" srcOrd="1" destOrd="0" presId="urn:microsoft.com/office/officeart/2005/8/layout/chevron2"/>
    <dgm:cxn modelId="{6B4A4B46-97E5-48B3-9FBC-E90C20A01B94}" type="presParOf" srcId="{538AA80C-E699-47A0-A673-580262749B43}" destId="{0FFEE3C9-B017-41F1-8C05-64894A38C95C}" srcOrd="2" destOrd="0" presId="urn:microsoft.com/office/officeart/2005/8/layout/chevron2"/>
    <dgm:cxn modelId="{7247D30B-DB58-4BAD-95AA-198DD34592E6}" type="presParOf" srcId="{0FFEE3C9-B017-41F1-8C05-64894A38C95C}" destId="{AD0C2431-DAAB-427A-B631-B49CE6C2EB9E}" srcOrd="0" destOrd="0" presId="urn:microsoft.com/office/officeart/2005/8/layout/chevron2"/>
    <dgm:cxn modelId="{66881B6D-11AF-487C-8856-B49E8469F058}" type="presParOf" srcId="{0FFEE3C9-B017-41F1-8C05-64894A38C95C}" destId="{FB342B80-8927-4B4F-96AB-BC973B97FB50}" srcOrd="1" destOrd="0" presId="urn:microsoft.com/office/officeart/2005/8/layout/chevron2"/>
    <dgm:cxn modelId="{7E3F1024-879F-43C4-B426-5CD6F16F17FB}" type="presParOf" srcId="{538AA80C-E699-47A0-A673-580262749B43}" destId="{80F7F952-4798-4436-B620-18B6683E8D0E}" srcOrd="3" destOrd="0" presId="urn:microsoft.com/office/officeart/2005/8/layout/chevron2"/>
    <dgm:cxn modelId="{98ECF083-FDE2-44FE-9E91-DE60A9397D53}" type="presParOf" srcId="{538AA80C-E699-47A0-A673-580262749B43}" destId="{A46A516C-CE80-493C-B424-4F29D64A016A}" srcOrd="4" destOrd="0" presId="urn:microsoft.com/office/officeart/2005/8/layout/chevron2"/>
    <dgm:cxn modelId="{577D3AD5-D22B-4732-BC22-698607661FBA}" type="presParOf" srcId="{A46A516C-CE80-493C-B424-4F29D64A016A}" destId="{87BFEF56-210C-42DF-91C2-571F89A78C23}" srcOrd="0" destOrd="0" presId="urn:microsoft.com/office/officeart/2005/8/layout/chevron2"/>
    <dgm:cxn modelId="{9D04859C-1FD3-4393-9030-AC67D958C157}" type="presParOf" srcId="{A46A516C-CE80-493C-B424-4F29D64A016A}" destId="{007F959B-CC0F-4F7D-8579-EB03F7950B69}" srcOrd="1" destOrd="0" presId="urn:microsoft.com/office/officeart/2005/8/layout/chevron2"/>
    <dgm:cxn modelId="{360C46DD-5379-4E44-A7B2-63A0288443C6}" type="presParOf" srcId="{538AA80C-E699-47A0-A673-580262749B43}" destId="{D007853F-91C3-4DD3-8F85-F257D25993DB}" srcOrd="5" destOrd="0" presId="urn:microsoft.com/office/officeart/2005/8/layout/chevron2"/>
    <dgm:cxn modelId="{308C0D43-756B-4592-B087-D95E3193177E}" type="presParOf" srcId="{538AA80C-E699-47A0-A673-580262749B43}" destId="{AC4FB824-4777-4FD1-9946-3316E35BFC7D}" srcOrd="6" destOrd="0" presId="urn:microsoft.com/office/officeart/2005/8/layout/chevron2"/>
    <dgm:cxn modelId="{6F84494E-D423-4970-ACEE-834D960439D2}" type="presParOf" srcId="{AC4FB824-4777-4FD1-9946-3316E35BFC7D}" destId="{C04FCE02-EC6A-4673-8047-BB9944B144B9}" srcOrd="0" destOrd="0" presId="urn:microsoft.com/office/officeart/2005/8/layout/chevron2"/>
    <dgm:cxn modelId="{9FB13CEC-83A8-4546-A0A4-5C5508BC91D8}" type="presParOf" srcId="{AC4FB824-4777-4FD1-9946-3316E35BFC7D}" destId="{98BEC772-A0B6-43B8-98FD-0A0EBBB75BB4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CF78D5-455D-4D59-B9AD-21AC3AC90E60}">
      <dsp:nvSpPr>
        <dsp:cNvPr id="0" name=""/>
        <dsp:cNvSpPr/>
      </dsp:nvSpPr>
      <dsp:spPr>
        <a:xfrm rot="5400000">
          <a:off x="-8247" y="138494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Change Request </a:t>
          </a:r>
        </a:p>
      </dsp:txBody>
      <dsp:txXfrm rot="-5400000">
        <a:off x="128880" y="321330"/>
        <a:ext cx="639923" cy="274253"/>
      </dsp:txXfrm>
    </dsp:sp>
    <dsp:sp modelId="{FAA51838-F5E9-435E-9F7E-F4ABB3B26E1C}">
      <dsp:nvSpPr>
        <dsp:cNvPr id="0" name=""/>
        <dsp:cNvSpPr/>
      </dsp:nvSpPr>
      <dsp:spPr>
        <a:xfrm rot="5400000">
          <a:off x="3114008" y="-2085367"/>
          <a:ext cx="594214" cy="476768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Submitted in writing with business rationale</a:t>
          </a:r>
        </a:p>
      </dsp:txBody>
      <dsp:txXfrm rot="-5400000">
        <a:off x="1027274" y="30374"/>
        <a:ext cx="4738677" cy="536200"/>
      </dsp:txXfrm>
    </dsp:sp>
    <dsp:sp modelId="{AD0C2431-DAAB-427A-B631-B49CE6C2EB9E}">
      <dsp:nvSpPr>
        <dsp:cNvPr id="0" name=""/>
        <dsp:cNvSpPr/>
      </dsp:nvSpPr>
      <dsp:spPr>
        <a:xfrm rot="5400000">
          <a:off x="-8247" y="899656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Impact Analysis </a:t>
          </a:r>
        </a:p>
      </dsp:txBody>
      <dsp:txXfrm rot="-5400000">
        <a:off x="128880" y="1082492"/>
        <a:ext cx="639923" cy="274253"/>
      </dsp:txXfrm>
    </dsp:sp>
    <dsp:sp modelId="{FB342B80-8927-4B4F-96AB-BC973B97FB50}">
      <dsp:nvSpPr>
        <dsp:cNvPr id="0" name=""/>
        <dsp:cNvSpPr/>
      </dsp:nvSpPr>
      <dsp:spPr>
        <a:xfrm rot="5400000">
          <a:off x="3114008" y="-1314533"/>
          <a:ext cx="594214" cy="474834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PM &amp; Tech lead assess budget, time &amp; Risk</a:t>
          </a:r>
          <a:endParaRPr lang="en-US" sz="1200" kern="1200"/>
        </a:p>
      </dsp:txBody>
      <dsp:txXfrm rot="-5400000">
        <a:off x="1036945" y="791537"/>
        <a:ext cx="4719335" cy="536200"/>
      </dsp:txXfrm>
    </dsp:sp>
    <dsp:sp modelId="{87BFEF56-210C-42DF-91C2-571F89A78C23}">
      <dsp:nvSpPr>
        <dsp:cNvPr id="0" name=""/>
        <dsp:cNvSpPr/>
      </dsp:nvSpPr>
      <dsp:spPr>
        <a:xfrm rot="5400000">
          <a:off x="-8247" y="1660819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CAB Review </a:t>
          </a:r>
        </a:p>
      </dsp:txBody>
      <dsp:txXfrm rot="-5400000">
        <a:off x="128880" y="1843655"/>
        <a:ext cx="639923" cy="274253"/>
      </dsp:txXfrm>
    </dsp:sp>
    <dsp:sp modelId="{007F959B-CC0F-4F7D-8579-EB03F7950B69}">
      <dsp:nvSpPr>
        <dsp:cNvPr id="0" name=""/>
        <dsp:cNvSpPr/>
      </dsp:nvSpPr>
      <dsp:spPr>
        <a:xfrm rot="5400000">
          <a:off x="3114008" y="-563755"/>
          <a:ext cx="594214" cy="476911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Change control board approves / rejects</a:t>
          </a:r>
        </a:p>
      </dsp:txBody>
      <dsp:txXfrm rot="-5400000">
        <a:off x="1026561" y="1552699"/>
        <a:ext cx="4740103" cy="536200"/>
      </dsp:txXfrm>
    </dsp:sp>
    <dsp:sp modelId="{C04FCE02-EC6A-4673-8047-BB9944B144B9}">
      <dsp:nvSpPr>
        <dsp:cNvPr id="0" name=""/>
        <dsp:cNvSpPr/>
      </dsp:nvSpPr>
      <dsp:spPr>
        <a:xfrm rot="5400000">
          <a:off x="-8247" y="2421982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Formal Sign-off </a:t>
          </a:r>
        </a:p>
      </dsp:txBody>
      <dsp:txXfrm rot="-5400000">
        <a:off x="128880" y="2604818"/>
        <a:ext cx="639923" cy="274253"/>
      </dsp:txXfrm>
    </dsp:sp>
    <dsp:sp modelId="{98BEC772-A0B6-43B8-98FD-0A0EBBB75BB4}">
      <dsp:nvSpPr>
        <dsp:cNvPr id="0" name=""/>
        <dsp:cNvSpPr/>
      </dsp:nvSpPr>
      <dsp:spPr>
        <a:xfrm rot="5400000">
          <a:off x="3114008" y="197407"/>
          <a:ext cx="594214" cy="4769110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Sponsor sign off budget/schedule updated</a:t>
          </a:r>
        </a:p>
      </dsp:txBody>
      <dsp:txXfrm rot="-5400000">
        <a:off x="1026561" y="2313862"/>
        <a:ext cx="4740103" cy="536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2026-10-17T01:38:00Z</dcterms:created>
  <dcterms:modified xsi:type="dcterms:W3CDTF">2026-10-17T02:35:00Z</dcterms:modified>
</cp:coreProperties>
</file>