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F8347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Visual Analysis Document of Music Videos Data</w:t>
      </w:r>
    </w:p>
    <w:p w14:paraId="403F0B4A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</w:p>
    <w:p w14:paraId="218B2B27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Clustering Analysis Chart</w:t>
      </w:r>
    </w:p>
    <w:p w14:paraId="7C001371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012A245F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Focuses on the clustering status of film and television videos under different time dimensions to explore the patterns between video release and audience interaction behaviors.</w:t>
      </w:r>
    </w:p>
    <w:p w14:paraId="5B03DC0B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1" name="图片 1" descr="clustering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ustering_analys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F60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1.Weekday-Hour Distribution: Clusters show distinct patterns. Cluster 0 (dominant in Mon 3h) has the highest engagement, aligning with the "best performance time: Mon 3h (engagement rate 54.0022)" from the report.</w:t>
      </w:r>
    </w:p>
    <w:p w14:paraId="6EF7DAC3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 Month-Hour Distribution: Cluster 3 peaks in Mar (matches "most active month: Mar") and Fri 15h (most active publication time).</w:t>
      </w:r>
    </w:p>
    <w:p w14:paraId="461F7085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3,Cluster Metrics: Relative engagement performance is highest for Cluster 0 (closely tied to Mon 3h). Cluster 2 has the largest share (26.5%), indicating mainstream release patterns.</w:t>
      </w:r>
    </w:p>
    <w:p w14:paraId="589485C2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0CA653BA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321BBE88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0028F66A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7EE1DC24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50F084C6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Cyclical Pattern Analysis Chart</w:t>
      </w:r>
    </w:p>
    <w:p w14:paraId="4F44F98F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0522E9CC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2" name="图片 2" descr="cyclical_pattern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yclical_pattern_analysi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630E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350D5978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1.Weekday: Publication volume peaks on Fri (486 releases), consistent with "most active time: Fri 15h".</w:t>
      </w:r>
    </w:p>
    <w:p w14:paraId="749A186C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2.Hour: 15h (3 PM) sees the highest releases, matching the report’s key finding.</w:t>
      </w:r>
    </w:p>
    <w:p w14:paraId="1369BA7E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3.Month/Quarter: Mar leads in monthly releases; Q1 (Jan-Mar) has the highest quarterly activity, driven by Mar’s peak.</w:t>
      </w:r>
    </w:p>
    <w:p w14:paraId="57A3915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 w14:paraId="414CDDE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 w14:paraId="666D5CF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 w14:paraId="7253E8C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 w14:paraId="7020F97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 w14:paraId="48DFB88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 w14:paraId="73341DC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Early Performance Analysis Chart</w:t>
      </w:r>
    </w:p>
    <w:p w14:paraId="372CA24D">
      <w:pPr>
        <w:rPr>
          <w:rFonts w:hint="eastAsia"/>
        </w:rPr>
      </w:pPr>
    </w:p>
    <w:p w14:paraId="5CC355EA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3" name="图片 3" descr="early_performance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arly_performance_analysi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95B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06AC8DA3">
      <w:pPr>
        <w:bidi w:val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1.Early Engagement: Peaks at 3h (Mon), with the highest early engagement rate, directly supporting "best performance time: Mon 3h".</w:t>
      </w:r>
    </w:p>
    <w:p w14:paraId="58C83A6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2.Early Views: Surge in views within the first 30 days for videos released at 3h, confirming strong early traction.</w:t>
      </w:r>
    </w:p>
    <w:p w14:paraId="3944C7A1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57046159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097E2D5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0F76166A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1F806D4E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629E5C2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0E923DD2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337E862C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24845814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8A51F66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40B0A6A0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399CE12D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27D7746B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A755115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0D4445A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5FE539D2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Performance Heatmap Analysis Chart</w:t>
      </w:r>
    </w:p>
    <w:p w14:paraId="3588CBAA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6BB90617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4" name="图片 4" descr="performance_heatmap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erformance_heatmap_analysi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2877">
      <w:pPr>
        <w:bidi w:val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1.Weekday-Hour Heatmap: Mon 3h shows the darkest color (highest engagement), consistent with the report’s top performance time.</w:t>
      </w:r>
    </w:p>
    <w:p w14:paraId="55A26EAB">
      <w:pPr>
        <w:bidi w:val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2.Month-Week Heatmap: Mar (Fri) has elevated engagement, aligning with "most active publication time: Fri 15h, Mar".</w:t>
      </w:r>
    </w:p>
    <w:p w14:paraId="2F560377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3.Controlled Performance: Mon 3h maintains top performance under controlled variables, validating its reliability.</w:t>
      </w:r>
    </w:p>
    <w:p w14:paraId="3E2D6576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0FE3E0BD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7DE30C9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22CA3788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113D8E09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77E6043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32E472E1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3BD45993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09314ECA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61A0B479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4AE8F640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27E44AAC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7D54F370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4E1A29BF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2919BEC2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277520FE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 w14:paraId="4F3109E8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Time Series Analysis Chart</w:t>
      </w:r>
    </w:p>
    <w:p w14:paraId="285206D4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1D783D56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5" name="图片 5" descr="time_series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e_series_analysi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85E"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1.Trends: Daily/weekly/monthly release volumes stabilize but spike in Mar (consistent with "most active month") and around Week 10 (Mar).</w:t>
      </w:r>
    </w:p>
    <w:p w14:paraId="7AF3CFFF"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2.Long-term Pattern: Annual peaks in Q1, driven by Mar’s high activity, with 2,541 videos analyzed over 555 days.</w:t>
      </w:r>
    </w:p>
    <w:p w14:paraId="3F8B0EE0"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784DD298">
      <w:pPr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Key Takeaways</w:t>
      </w:r>
    </w:p>
    <w:bookmarkEnd w:id="0"/>
    <w:p w14:paraId="5C82A879"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1.Optimal Release Time: Mon 3h (highest engagement: 54.0022, 1597.4% potential improvement vs. average 3.1814).</w:t>
      </w:r>
    </w:p>
    <w:p w14:paraId="7A07DA33"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2.Active Periods: Fri 15h (peak releases), Mar (busiest month), and Q1 (highest quarterly activity).</w:t>
      </w:r>
    </w:p>
    <w:p w14:paraId="7716242F"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3.Early Traction: Prioritize 3h releases to leverage strong early views/engagement.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E59E3"/>
    <w:rsid w:val="43DD0C2F"/>
    <w:rsid w:val="45104993"/>
    <w:rsid w:val="45C168FC"/>
    <w:rsid w:val="61A50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715</Words>
  <Characters>4102</Characters>
  <Lines>0</Lines>
  <Paragraphs>0</Paragraphs>
  <TotalTime>9</TotalTime>
  <ScaleCrop>false</ScaleCrop>
  <LinksUpToDate>false</LinksUpToDate>
  <CharactersWithSpaces>4700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2025-07-17T16:27:00Z</dcterms:created>
  <dc:creator>LENOVO</dc:creator>
  <cp:lastModifiedBy>张玉祯</cp:lastModifiedBy>
  <dcterms:modified xsi:type="dcterms:W3CDTF">2025-07-17T17:34:12Z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KSOTemplateDocerSaveRecord">
    <vt:lpwstr>eyJoZGlkIjoiZTFiNWZhODAxNTk5YTI0MzljYWZjNjU4YjVhZDljOTkiLCJ1c2VySWQiOiIxNTUwNTM3OTA4In0=</vt:lpwstr>
  </property>
  <property fmtid="{D5CDD505-2E9C-101B-9397-08002B2CF9AE}" pid="4" name="ICV">
    <vt:lpwstr>0DE1CBEFC1EF4D099F2E9E438D899E4D_13</vt:lpwstr>
  </property>
</Properties>
</file>