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5C8A"/>
          <w:sz w:val="28"/>
          <w:szCs w:val="28"/>
        </w:rPr>
        <w:t xml:space="preserve">Document de travail</w:t>
      </w:r>
    </w:p>
    <w:p>
      <w:pPr>
        <w:spacing w:after="400"/>
        <w:jc w:val="center"/>
      </w:pPr>
      <w:r>
        <w:rPr>
          <w:b/>
          <w:bCs/>
          <w:color w:val="1F3864"/>
          <w:sz w:val="56"/>
          <w:szCs w:val="56"/>
        </w:rPr>
        <w:t xml:space="preserve">Plan d'amélioration de Probare</w:t>
      </w:r>
    </w:p>
    <w:p>
      <w:pPr>
        <w:spacing w:after="800"/>
        <w:jc w:val="center"/>
      </w:pPr>
      <w:r>
        <w:rPr>
          <w:color w:val="2E5C8A"/>
          <w:sz w:val="30"/>
          <w:szCs w:val="30"/>
        </w:rPr>
        <w:t xml:space="preserve">Rapprochement du périmètre « audit financier » de Caseware</w:t>
      </w:r>
    </w:p>
    <w:p>
      <w:pPr>
        <w:spacing w:after="100"/>
        <w:jc w:val="center"/>
      </w:pPr>
      <w:r>
        <w:rPr>
          <w:sz w:val="22"/>
          <w:szCs w:val="22"/>
        </w:rPr>
        <w:t xml:space="preserve">Statut : document de travail — version 1.0 — juillet 2026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Périmètre : méthodologie d'audit, analyse de données, dossier de travail et revue, production des livrables.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Hors périmètre : gestion de cabinet, gestion qualité ISQM 1, localisations multi-pays.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1. Objet et méthode</w:t>
      </w:r>
    </w:p>
    <w:p>
      <w:pPr>
        <w:spacing w:after="120" w:line="276"/>
      </w:pPr>
      <w:r>
        <w:t xml:space="preserve">Ce document découle de l'analyse comparative Probare / Caseware (Working Papers, CaseView, IDEA, AnalyticsAI, solutions de contenu ISA). Il liste les chantiers permettant à Probare de couvrir l'essentiel du périmètre audit financier de Caseware, sans renoncer à son ADN : calcul déterministe, interprétation IA automatique, supervision humaine, provenance obligatoire de chaque chiffre.</w:t>
      </w:r>
    </w:p>
    <w:p>
      <w:pPr>
        <w:spacing w:after="120" w:line="276"/>
      </w:pPr>
      <w:r>
        <w:t xml:space="preserve">Chaque chantier est présenté sous forme de fiche avec 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une priorité (nécessité de mise en place) ;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un indice de difficulté de mise en œuvre ;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une charge estimée ;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les normes concernées et les dépendances entre chantiers.</w:t>
      </w:r>
    </w:p>
    <w:p>
      <w:pPr>
        <w:pStyle w:val="Heading2"/>
        <w:spacing w:after="150" w:before="300"/>
      </w:pPr>
      <w:r>
        <w:t xml:space="preserve">Grille de lecture</w:t>
      </w:r>
    </w:p>
    <w:p>
      <w:pPr>
        <w:spacing w:after="120" w:line="276"/>
      </w:pPr>
      <w:r>
        <w:rPr>
          <w:b/>
          <w:bCs/>
        </w:rPr>
        <w:t xml:space="preserve">Priorité (nécessité de mise en place)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  <w:tc>
          <w:tcPr>
            <w:tcW w:type="dxa" w:w="5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Critère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Indispensable</w:t>
            </w:r>
          </w:p>
        </w:tc>
        <w:tc>
          <w:tcPr>
            <w:tcW w:type="dxa" w:w="5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Sans ce chantier, le dossier produit par Probare n'est pas défendable comme dossier d'audit complet au regard des ISA.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Nécessaire</w:t>
            </w:r>
          </w:p>
        </w:tc>
        <w:tc>
          <w:tcPr>
            <w:tcW w:type="dxa" w:w="5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Attendu de tout logiciel d'audit sérieux ; écart le plus visible face à Caseware.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Important</w:t>
            </w:r>
          </w:p>
        </w:tc>
        <w:tc>
          <w:tcPr>
            <w:tcW w:type="dxa" w:w="5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Gain fort de productivité ou de qualité de revue ; peut attendre un ou deux cycles de release.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Différable</w:t>
            </w:r>
          </w:p>
        </w:tc>
        <w:tc>
          <w:tcPr>
            <w:tcW w:type="dxa" w:w="5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Rapproche de la parité complète Caseware, mais coût élevé ou valeur marginale pour la cible actuelle (cabinet mono-poste, PME).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Indice de difficulté de mise en œuvre (1 → 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Indice</w:t>
            </w:r>
          </w:p>
        </w:tc>
        <w:tc>
          <w:tcPr>
            <w:tcW w:type="dxa" w:w="7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Trivial — paramétrage ou petit calcul supplémentaire dans l'existant.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Simple — nouveau module borné, patrons déjà présents dans le code (nouveau contrôle, nouveau questionnaire, nouvel export).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 — nouveau sous-système (modèle de données + API + UI), mais sans remise en cause de l'architecture.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Difficile — touche l'architecture (modèle de données central, moteur de rendu, interactions riches).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8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Très difficile — change des hypothèses fondatrices (mono-poste, mono-entité, SQLite local).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Charge estimée : S (&lt; 1 semaine), M (1–3 semaines), L (1–2 mois), XL (&gt; 2 mois) — pour un développeur connaissant la base de code.</w:t>
      </w:r>
    </w:p>
    <w:p>
      <w:pPr>
        <w:pStyle w:val="Heading1"/>
        <w:spacing w:after="200" w:before="400"/>
      </w:pPr>
      <w:r>
        <w:t xml:space="preserve">2. Vue d'ensemble des chantiers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700"/>
        <w:gridCol w:w="900"/>
        <w:gridCol w:w="900"/>
        <w:gridCol w:w="700"/>
        <w:gridCol w:w="1900"/>
      </w:tblGrid>
      <w:tr>
        <w:trPr>
          <w:tblHeader/>
        </w:trP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Réf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Chantier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Axe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Difficulté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Charge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 de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M1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Écritures d'ajustement et état récapitulatif ISA 450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Méthodologie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P0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M2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Seuils complémentaires (anomalies insignifiantes, seuils spécifiques)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Méthodologie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P0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M3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Couverture des ISA de périphérie de mission (210, 220, 240, 550, 560, 570, 580, 260/265)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Méthodologie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P0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M4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Cartographie contrôles ↔ assertions (ISA 315 révisée)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Méthodologie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P0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D1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 des écritures de journal — Journal Entry Testing (ISA 240)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de données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P0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 (volet fraude)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D2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Loi de Benford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de données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36C09"/>
              </w:rPr>
              <w:t xml:space="preserve">P1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D3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Échantillonnage statistique complet (MUS, stratifié, attributs)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de données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36C09"/>
              </w:rPr>
              <w:t xml:space="preserve">P1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D4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Balance âgée automatique (clients / fournisseurs)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de données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36C09"/>
              </w:rPr>
              <w:t xml:space="preserve">P1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D5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 élargi (FEC, formats logiciels comptables, auto-détection renforcée)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de données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36C09"/>
              </w:rPr>
              <w:t xml:space="preserve">P1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M5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Feuilles maîtresses (leadsheets) par cycle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Dossier de travail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36C09"/>
              </w:rPr>
              <w:t xml:space="preserve">P1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M6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Roll-forward de mission N → N+1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Méthodologie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36C09"/>
              </w:rPr>
              <w:t xml:space="preserve">P1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C1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Verrouillage du dossier conforme ISA 230 (gel, hash, délai d'assemblage)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Dossier &amp; revue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36C09"/>
              </w:rPr>
              <w:t xml:space="preserve">P1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C2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Dossier de travail interactif (indexation, références croisées, tickmarks)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Dossier &amp; revue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F"/>
              </w:rPr>
              <w:t xml:space="preserve">P2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M5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C3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Workflow de revue et sign-off (rôles préparateur / réviseur / signataire)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Dossier &amp; revue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F"/>
              </w:rPr>
              <w:t xml:space="preserve">P2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C2 souhaitable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D6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Rapprochements génériques de fichiers (jointures type IDEA)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de données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F"/>
              </w:rPr>
              <w:t xml:space="preserve">P2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D5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D7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Passage aux gros volumes (DuckDB / Polars)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Analyse de données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F"/>
              </w:rPr>
              <w:t xml:space="preserve">P2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Circularisation : envoi et suivi intégrés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Production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F"/>
              </w:rPr>
              <w:t xml:space="preserve">P2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C4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Multi-utilisateurs et synchronisation de dossier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Dossier &amp; revue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08080"/>
              </w:rPr>
              <w:t xml:space="preserve">P3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XL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C3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États financiers liés à la balance (bilan, compte de résultat, annexes)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Production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08080"/>
              </w:rPr>
              <w:t xml:space="preserve">P3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XL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P3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Consolidation et multi-devises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Production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08080"/>
              </w:rPr>
              <w:t xml:space="preserve">P3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XL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P4</w:t>
            </w:r>
          </w:p>
        </w:tc>
        <w:tc>
          <w:tcPr>
            <w:tcW w:type="dxa" w:w="3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Portail client PBC (demandes de documents)</w:t>
            </w:r>
          </w:p>
        </w:tc>
        <w:tc>
          <w:tcPr>
            <w:tcW w:type="dxa" w:w="1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Production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08080"/>
              </w:rPr>
              <w:t xml:space="preserve">P3</w:t>
            </w:r>
          </w:p>
        </w:tc>
        <w:tc>
          <w:tcPr>
            <w:tcW w:type="dxa" w:w="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19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Lecture rapide : </w:t>
      </w:r>
      <w:r>
        <w:rPr>
          <w:b/>
          <w:bCs/>
        </w:rPr>
        <w:t xml:space="preserve">les P0 rendent le dossier normativement complet ; les P1 comblent les écarts les plus visibles face à IDEA et Working Papers ; les P2 apportent la productivité de revue ; les P3 relèvent de la parité plateforme.</w:t>
      </w:r>
    </w:p>
    <w:p>
      <w:pPr>
        <w:pStyle w:val="Heading1"/>
        <w:spacing w:after="200" w:before="400"/>
      </w:pPr>
      <w:r>
        <w:t xml:space="preserve">3. Fiches détaillées</w:t>
      </w:r>
    </w:p>
    <w:p>
      <w:pPr>
        <w:pStyle w:val="Heading2"/>
        <w:spacing w:after="150" w:before="300"/>
      </w:pPr>
      <w:r>
        <w:t xml:space="preserve">Axe M — Méthodologie d'audit</w:t>
      </w:r>
    </w:p>
    <w:p>
      <w:pPr>
        <w:pStyle w:val="Heading3"/>
        <w:spacing w:after="60" w:before="320"/>
      </w:pPr>
      <w:r>
        <w:rPr>
          <w:b/>
          <w:bCs/>
        </w:rPr>
        <w:t xml:space="preserve">M1 — Écritures d'ajustement et état récapitulatif ISA 450</w:t>
      </w:r>
    </w:p>
    <w:p>
      <w:pPr>
        <w:spacing w:after="160"/>
      </w:pPr>
      <w:r>
        <w:rPr>
          <w:b/>
          <w:bCs/>
          <w:color w:val="C00000"/>
          <w:sz w:val="20"/>
          <w:szCs w:val="20"/>
        </w:rPr>
        <w:t xml:space="preserve">P0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écritures d'ajustement proposées / validées / passées, reclassements, recalcul instantané de la balance ajustée et de toutes les feuilles en aval ; état récapitulatif des anomalies (SUM — Summary of Unadjusted Misstatements).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Probare saisit le montant d'incidence des exceptions non corrigées et cumule contre le seuil (déjà supérieur à Caseware sur le blocage), mais ne matérialise pas l'anomalie en écriture (comptes débités/crédités), ne distingue pas anomalie factuelle / de jugement / extrapolée, et ne produit pas de balance ajustée.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Modèle EcritureAjustement (lignes compte/débit/crédit, statut proposée → acceptée client → passée / refusée, rattachement à une exception ou saisie libre, type factuelle/jugement/extrapolée).</w:t>
      </w:r>
    </w:p>
    <w:p>
      <w:pPr>
        <w:spacing w:after="80" w:line="264"/>
      </w:pPr>
      <w:r>
        <w:t xml:space="preserve">2. Calcul de la balance ajustée = balance importée + écritures passées ; toutes les vues comparatives affichent brut / ajustements / ajusté.</w:t>
      </w:r>
    </w:p>
    <w:p>
      <w:pPr>
        <w:spacing w:after="80" w:line="264"/>
      </w:pPr>
      <w:r>
        <w:t xml:space="preserve">3. État récapitulatif ISA 450 enrichi : anomalies corrigées ET non corrigées, effet sur le résultat et sur les capitaux propres, comparaison au seuil — intégré au dossier Word.</w:t>
      </w:r>
    </w:p>
    <w:p>
      <w:pPr>
        <w:spacing w:after="80" w:line="264"/>
      </w:pPr>
      <w:r>
        <w:t xml:space="preserve">4. Chaque ligne d'écriture est une DonneeSourcee (provenance = décision d'exception signée).</w:t>
      </w:r>
    </w:p>
    <w:p>
      <w:pPr>
        <w:spacing w:after="120" w:line="276"/>
      </w:pPr>
      <w:r>
        <w:rPr>
          <w:b/>
          <w:bCs/>
        </w:rPr>
        <w:t xml:space="preserve">Point d'attention : </w:t>
      </w:r>
      <w:r>
        <w:t xml:space="preserve">ne pas casser l'invariant « toute valeur vient d'une DonneeSourcee » ; l'écriture d'ajustement devient elle-même une source traçable.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M2 — Seuils complémentaires</w:t>
      </w:r>
    </w:p>
    <w:p>
      <w:pPr>
        <w:spacing w:after="160"/>
      </w:pPr>
      <w:r>
        <w:rPr>
          <w:b/>
          <w:bCs/>
          <w:color w:val="C00000"/>
          <w:sz w:val="20"/>
          <w:szCs w:val="20"/>
        </w:rPr>
        <w:t xml:space="preserve">P0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S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formulaires ISA 320/450 complets : seuil de signification, seuil(s) de planification, seuil des anomalies manifestement insignifiantes (clearly trivial, usuellement 1 à 5 % du seuil), seuils spécifiques par poste ou par catégorie d'opérations.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seuil global + seuil de planification (75 %) uniquement.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Ajouter le seuil des anomalies manifestement insignifiantes (défaut 3 % du seuil, réglable) ; en dessous, une exception peut être tranchée « insignifiante » sans entrer au cumul ISA 450 — mais reste journalisée et listée au dossier.</w:t>
      </w:r>
    </w:p>
    <w:p>
      <w:pPr>
        <w:spacing w:after="80" w:line="264"/>
      </w:pPr>
      <w:r>
        <w:t xml:space="preserve">2. Permettre des seuils spécifiques par cycle ou par compte (ex. : provisions, parties liées), utilisés par les contrôles du cycle concerné à la place du seuil global.</w:t>
      </w:r>
    </w:p>
    <w:p>
      <w:pPr>
        <w:spacing w:after="80" w:line="264"/>
      </w:pPr>
      <w:r>
        <w:t xml:space="preserve">3. Documenter la justification de chaque seuil dans la note de planification (rédaction IA, comme déjà fait).</w:t>
      </w:r>
    </w:p>
    <w:p>
      <w:pPr>
        <w:spacing w:after="120" w:line="276"/>
      </w:pPr>
      <w:r>
        <w:rPr>
          <w:i/>
          <w:iCs/>
        </w:rPr>
        <w:t xml:space="preserve">Quick win : le meilleur ratio valeur/effort de tout le plan.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M3 — Couverture des ISA de périphérie de mission</w:t>
      </w:r>
    </w:p>
    <w:p>
      <w:pPr>
        <w:spacing w:after="160"/>
      </w:pPr>
      <w:r>
        <w:rPr>
          <w:b/>
          <w:bCs/>
          <w:color w:val="C00000"/>
          <w:sz w:val="20"/>
          <w:szCs w:val="20"/>
        </w:rPr>
        <w:t xml:space="preserve">P0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L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la mission couvre TOUT le cycle de vie : acceptation et maintien, indépendance, fraude, parties liées, continuité d'exploitation, événements postérieurs, déclarations écrites, communication avec la gouvernance — sous forme de questionnaires, checklists et modèles de lettres.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Probare couvre 230/300/315/320/330/450/500/505/520/530 — le « cœur » substantif — mais un dossier réel exige aussi la périphérie.</w:t>
      </w:r>
    </w:p>
    <w:p>
      <w:pPr>
        <w:spacing w:after="120" w:line="276"/>
      </w:pPr>
      <w:r>
        <w:rPr>
          <w:b/>
          <w:bCs/>
        </w:rPr>
        <w:t xml:space="preserve">Travaux</w:t>
      </w:r>
      <w:r>
        <w:t xml:space="preserve"> (le patron QCI existant — questionnaire + score calculé + synthèse IA — se réplique) :</w:t>
      </w:r>
    </w:p>
    <w:p>
      <w:pPr>
        <w:spacing w:after="80" w:line="264"/>
      </w:pPr>
      <w:r>
        <w:t xml:space="preserve">1. ISA 210/220 — Acceptation et maintien : questionnaire au cadrage (indépendance, compétence, intégrité du client, honoraires) ; blocage doux si conclusion défavorable non justifiée.</w:t>
      </w:r>
    </w:p>
    <w:p>
      <w:pPr>
        <w:spacing w:after="80" w:line="264"/>
      </w:pPr>
      <w:r>
        <w:t xml:space="preserve">2. ISA 240 — Fraude : questionnaire triangle de la fraude + entretiens obligatoires tracés + lien vers les contrôles data (D1, montants ronds, cut-off déjà en place) ; synthèse IA des facteurs de risque de fraude injectée dans la cartographie des risques existante.</w:t>
      </w:r>
    </w:p>
    <w:p>
      <w:pPr>
        <w:spacing w:after="80" w:line="264"/>
      </w:pPr>
      <w:r>
        <w:t xml:space="preserve">3. ISA 550 — Parties liées : registre des parties liées (dossier permanent), contrôle déterministe signalant les mouvements avec ces tiers, questionnaire de diligences.</w:t>
      </w:r>
    </w:p>
    <w:p>
      <w:pPr>
        <w:spacing w:after="80" w:line="264"/>
      </w:pPr>
      <w:r>
        <w:t xml:space="preserve">4. ISA 560 — Événements postérieurs : checklist datée entre clôture et signature + revue des écritures post-clôture si le grand livre N+1 partiel est importé.</w:t>
      </w:r>
    </w:p>
    <w:p>
      <w:pPr>
        <w:spacing w:after="80" w:line="264"/>
      </w:pPr>
      <w:r>
        <w:t xml:space="preserve">5. ISA 570 — Continuité d'exploitation : contrôles déterministes (capitaux propres &lt; moitié du capital — déjà partiellement couvert par CP-SOLDE-ANORMAL —, fonds de roulement négatif, ratios de structure), questionnaire, conclusion documentée obligatoire avant l'étape generation.</w:t>
      </w:r>
    </w:p>
    <w:p>
      <w:pPr>
        <w:spacing w:after="80" w:line="264"/>
      </w:pPr>
      <w:r>
        <w:t xml:space="preserve">6. ISA 580 — Déclarations écrites : génération IA de la lettre d'affirmation à partir du contenu réel du dossier (exceptions tranchées, ajustements refusés) ; statut envoyée/signée.</w:t>
      </w:r>
    </w:p>
    <w:p>
      <w:pPr>
        <w:spacing w:after="80" w:line="264"/>
      </w:pPr>
      <w:r>
        <w:t xml:space="preserve">7. ISA 260/265 — Communications à la gouvernance : génération IA de la lettre de faiblesses du contrôle interne à partir du QCI et des exceptions ; journal des communications.</w:t>
      </w:r>
    </w:p>
    <w:p>
      <w:pPr>
        <w:spacing w:after="120" w:line="276"/>
      </w:pPr>
      <w:r>
        <w:rPr>
          <w:b/>
          <w:bCs/>
        </w:rPr>
        <w:t xml:space="preserve">Découpage conseillé : </w:t>
      </w:r>
      <w:r>
        <w:t xml:space="preserve">livrer par norme, dans l'ordre 240 → 570 → 580 → 560 → 210/220 → 550 → 260/265.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M4 — Cartographie contrôles ↔ assertions (ISA 315 révisée)</w:t>
      </w:r>
    </w:p>
    <w:p>
      <w:pPr>
        <w:spacing w:after="160"/>
      </w:pPr>
      <w:r>
        <w:rPr>
          <w:b/>
          <w:bCs/>
          <w:color w:val="C00000"/>
          <w:sz w:val="20"/>
          <w:szCs w:val="20"/>
        </w:rPr>
        <w:t xml:space="preserve">P0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chaque procédure est reliée aux assertions (existence, exhaustivité, exactitude, séparation des exercices, classement, droits et obligations, valorisation) ; la couverture des risques par assertion est visible et pilote le programme de travail.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les risques et le programme existent, mais les 52 contrôles ne déclarent pas les assertions qu'ils couvrent ; impossible de démontrer qu'un risque « exhaustivité des ventes » est couvert.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Ajouter assertions: list[str] à ControleDefinition dans controls/registry.py et renseigner les 52 contrôles (travail métier, pas technique).</w:t>
      </w:r>
    </w:p>
    <w:p>
      <w:pPr>
        <w:spacing w:after="80" w:line="264"/>
      </w:pPr>
      <w:r>
        <w:t xml:space="preserve">2. Étendre la cartographie des risques : chaque risque validé porte cycle × assertion(s).</w:t>
      </w:r>
    </w:p>
    <w:p>
      <w:pPr>
        <w:spacing w:after="80" w:line="264"/>
      </w:pPr>
      <w:r>
        <w:t xml:space="preserve">3. Matrice de couverture risque → assertion → contrôles/sondages/circularisations dans l'UI Planification et dans la note de planification ; l'IA signale les assertions à risque non couvertes et propose des procédures complémentaires au programme de travail.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M5 — Feuilles maîtresses (leadsheets) par cycle</w:t>
      </w:r>
    </w:p>
    <w:p>
      <w:pPr>
        <w:spacing w:after="160"/>
      </w:pPr>
      <w:r>
        <w:rPr>
          <w:b/>
          <w:bCs/>
          <w:color w:val="E36C09"/>
          <w:sz w:val="20"/>
          <w:szCs w:val="20"/>
        </w:rPr>
        <w:t xml:space="preserve">P1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pour chaque cycle, une feuille maîtresse agrège les comptes, affiche N / ajustements / N ajusté / N-1 / variation %, sert de pivot de navigation vers les travaux.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les données existent (balance, variations, contrôles par cycle) mais il n'y a pas de vue « feuille maîtresse » ; le dossier Word est généré sans ce pivot standard.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Vue UI par cycle : tableau des comptes du cycle (préfixes déjà définis par cycle), colonnes N brut / ajustements (M1) / N ajusté / N-1 / variation, total du cycle.</w:t>
      </w:r>
    </w:p>
    <w:p>
      <w:pPr>
        <w:spacing w:after="80" w:line="264"/>
      </w:pPr>
      <w:r>
        <w:t xml:space="preserve">2. Rattacher visuellement à chaque ligne : exceptions ouvertes, contrôles exécutés, sondages, circularisations du compte.</w:t>
      </w:r>
    </w:p>
    <w:p>
      <w:pPr>
        <w:spacing w:after="80" w:line="264"/>
      </w:pPr>
      <w:r>
        <w:t xml:space="preserve">3. Export de chaque feuille maîtresse dans le dossier Word (une section par cycle, avant la feuille de travail rédigée par l'IA).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M6 — Roll-forward de mission N → N+1</w:t>
      </w:r>
    </w:p>
    <w:p>
      <w:pPr>
        <w:spacing w:after="160"/>
      </w:pPr>
      <w:r>
        <w:rPr>
          <w:b/>
          <w:bCs/>
          <w:color w:val="E36C09"/>
          <w:sz w:val="20"/>
          <w:szCs w:val="20"/>
        </w:rPr>
        <w:t xml:space="preserve">P1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création de la mission N+1 en un clic : structure, mapping, paramètres, soldes N devenant les comparatifs N-1.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chaque mission repart de zéro ; seuls les dossiers permanents portent le pluriannuel.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Action « Créer la mission N+1 » depuis une mission archivée : reprend client, cycles, fiche entité, registre des parties liées, paramètres de seuil (à revalider), QCI pré-rempli avec les réponses N (marquées « à confirmer »).</w:t>
      </w:r>
    </w:p>
    <w:p>
      <w:pPr>
        <w:spacing w:after="80" w:line="264"/>
      </w:pPr>
      <w:r>
        <w:t xml:space="preserve">2. La balance N validée devient automatiquement la balance comparative N-1 de la nouvelle mission (avec provenance pointant vers la mission d'origine).</w:t>
      </w:r>
    </w:p>
    <w:p>
      <w:pPr>
        <w:spacing w:after="80" w:line="264"/>
      </w:pPr>
      <w:r>
        <w:t xml:space="preserve">3. Report des points d'attention : exceptions non corrigées N, faiblesses de CI, risques — l'IA rédige une note « points ouverts de l'exercice précédent ».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2"/>
        <w:spacing w:after="150" w:before="300"/>
      </w:pPr>
      <w:r>
        <w:t xml:space="preserve">Axe D — Analyse de données (rapprocher IDEA / AnalyticsAI)</w:t>
      </w:r>
    </w:p>
    <w:p>
      <w:pPr>
        <w:pStyle w:val="Heading3"/>
        <w:spacing w:after="60" w:before="320"/>
      </w:pPr>
      <w:r>
        <w:rPr>
          <w:b/>
          <w:bCs/>
        </w:rPr>
        <w:t xml:space="preserve">D1 — Tests des écritures de journal (Journal Entry Testing, ISA 240)</w:t>
      </w:r>
    </w:p>
    <w:p>
      <w:pPr>
        <w:spacing w:after="160"/>
      </w:pPr>
      <w:r>
        <w:rPr>
          <w:b/>
          <w:bCs/>
          <w:color w:val="C00000"/>
          <w:sz w:val="20"/>
          <w:szCs w:val="20"/>
        </w:rPr>
        <w:t xml:space="preserve">P0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(IDEA/AnalyticsAI) : </w:t>
      </w:r>
      <w:r>
        <w:t xml:space="preserve">batterie standard sur le grand livre complet : écritures de week-end / jours fériés / nuit, écritures manuelles vs automatiques, utilisateurs inhabituels, contreparties inhabituelles (ex. : vente ↔ trésorerie sans client), écritures juste sous le seuil, top-side entries, écritures de clôture tardives, scoring de risque par écriture.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montants ronds et cut-off existent par cycle, mais il n'y a pas de module JET transversal sur l'ensemble du grand livre — exigence ISA 240 sur toute mission.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Nouveau groupe de contrôles transversal journal_entry_testing (hors cycles) dans le registre :</w:t>
      </w:r>
    </w:p>
    <w:p>
      <w:pPr>
        <w:pStyle w:val="ListParagraph"/>
        <w:numPr>
          <w:ilvl w:val="1"/>
          <w:numId w:val="1"/>
        </w:numPr>
        <w:spacing w:after="80" w:line="264"/>
      </w:pPr>
      <w:r>
        <w:t xml:space="preserve">écritures datées week-end / hors heures (si l'horodatage existe dans le fichier) ;</w:t>
      </w:r>
    </w:p>
    <w:p>
      <w:pPr>
        <w:pStyle w:val="ListParagraph"/>
        <w:numPr>
          <w:ilvl w:val="1"/>
          <w:numId w:val="1"/>
        </w:numPr>
        <w:spacing w:after="80" w:line="264"/>
      </w:pPr>
      <w:r>
        <w:t xml:space="preserve">écritures dans les N derniers jours avec contrepartie inhabituelle (table de correspondances attendues entre classes de comptes) ;</w:t>
      </w:r>
    </w:p>
    <w:p>
      <w:pPr>
        <w:pStyle w:val="ListParagraph"/>
        <w:numPr>
          <w:ilvl w:val="1"/>
          <w:numId w:val="1"/>
        </w:numPr>
        <w:spacing w:after="80" w:line="264"/>
      </w:pPr>
      <w:r>
        <w:t xml:space="preserve">écritures d'un montant juste sous le seuil (90–100 % du seuil) ;</w:t>
      </w:r>
    </w:p>
    <w:p>
      <w:pPr>
        <w:pStyle w:val="ListParagraph"/>
        <w:numPr>
          <w:ilvl w:val="1"/>
          <w:numId w:val="1"/>
        </w:numPr>
        <w:spacing w:after="80" w:line="264"/>
      </w:pPr>
      <w:r>
        <w:t xml:space="preserve">déséquilibres par pièce (débits ≠ crédits au sein d'un même numéro de pièce) ;</w:t>
      </w:r>
    </w:p>
    <w:p>
      <w:pPr>
        <w:pStyle w:val="ListParagraph"/>
        <w:numPr>
          <w:ilvl w:val="1"/>
          <w:numId w:val="1"/>
        </w:numPr>
        <w:spacing w:after="80" w:line="264"/>
      </w:pPr>
      <w:r>
        <w:t xml:space="preserve">libellés vides, génériques (« divers », « od ») ou dupliqués ;</w:t>
      </w:r>
    </w:p>
    <w:p>
      <w:pPr>
        <w:pStyle w:val="ListParagraph"/>
        <w:numPr>
          <w:ilvl w:val="1"/>
          <w:numId w:val="1"/>
        </w:numPr>
        <w:spacing w:after="80" w:line="264"/>
      </w:pPr>
      <w:r>
        <w:t xml:space="preserve">écritures sans numéro de pièce.</w:t>
      </w:r>
    </w:p>
    <w:p>
      <w:pPr>
        <w:spacing w:after="80" w:line="264"/>
      </w:pPr>
      <w:r>
        <w:t xml:space="preserve">2. Score de risque par écriture (somme pondérée déterministe des signaux — pas de LLM) ; les X écritures les mieux scorées partent en sélection ciblée, pointables comme un sondage (module ISA 530 existant réutilisé).</w:t>
      </w:r>
    </w:p>
    <w:p>
      <w:pPr>
        <w:spacing w:after="80" w:line="264"/>
      </w:pPr>
      <w:r>
        <w:t xml:space="preserve">3. Interprétation IA de la population signalée (patron exceptions existant).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D2 — Loi de Benford</w:t>
      </w:r>
    </w:p>
    <w:p>
      <w:pPr>
        <w:spacing w:after="160"/>
      </w:pPr>
      <w:r>
        <w:rPr>
          <w:b/>
          <w:bCs/>
          <w:color w:val="E36C09"/>
          <w:sz w:val="20"/>
          <w:szCs w:val="20"/>
        </w:rPr>
        <w:t xml:space="preserve">P1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S</w:t>
      </w:r>
    </w:p>
    <w:p>
      <w:pPr>
        <w:spacing w:after="120" w:line="276"/>
      </w:pPr>
      <w:r>
        <w:rPr>
          <w:b/>
          <w:bCs/>
        </w:rPr>
        <w:t xml:space="preserve">Ce que fait Caseware (IDEA) : </w:t>
      </w:r>
      <w:r>
        <w:t xml:space="preserve">analyse des premier / deux premiers chiffres sur toute population, écart au modèle de Benford, χ² ou MAD, zoom sur les classes déviantes.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Contrôle BENFORD exécutable sur grand livre complet ou par cycle (population ≥ 300 écritures pour être significatif — en dessous, contrôle « non exécuté » avec motif, mécanisme déjà en place).</w:t>
      </w:r>
    </w:p>
    <w:p>
      <w:pPr>
        <w:spacing w:after="80" w:line="264"/>
      </w:pPr>
      <w:r>
        <w:t xml:space="preserve">2. Calcul déterministe (distribution observée vs théorique, MAD avec bornes de Nigrini), graphique dans l'UI, liste des écritures des classes déviantes.</w:t>
      </w:r>
    </w:p>
    <w:p>
      <w:pPr>
        <w:spacing w:after="80" w:line="264"/>
      </w:pPr>
      <w:r>
        <w:t xml:space="preserve">3. Exception levée si déviation forte ; interprétation IA standard.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D3 — Échantillonnage statistique complet</w:t>
      </w:r>
    </w:p>
    <w:p>
      <w:pPr>
        <w:spacing w:after="160"/>
      </w:pPr>
      <w:r>
        <w:rPr>
          <w:b/>
          <w:bCs/>
          <w:color w:val="E36C09"/>
          <w:sz w:val="20"/>
          <w:szCs w:val="20"/>
        </w:rPr>
        <w:t xml:space="preserve">P1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(IDEA) : </w:t>
      </w:r>
      <w:r>
        <w:t xml:space="preserve">MUS (probabilité proportionnelle à la taille) avec évaluation des erreurs (facteurs de confiance, basic precision, projection), stratification, échantillonnage par attributs, aléatoire et systématique.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tirage aléatoire simple reproductible + extrapolation monétaire. Correct, mais non stratifié et non MUS — la limite est même documentée dans le guide utilisateur.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MUS : tirage par unités monétaires (intervalle = population / taille), les éléments ≥ intervalle deviennent une strate « éléments clés » examinés à 100 % ; évaluation par facteurs de confiance Poisson (projection + basic precision + incremental allowance).</w:t>
      </w:r>
    </w:p>
    <w:p>
      <w:pPr>
        <w:spacing w:after="80" w:line="264"/>
      </w:pPr>
      <w:r>
        <w:t xml:space="preserve">2. Stratification : découpage en strates par montant (bornes automatiques ou manuelles), allocation de l'échantillon par strate, projection par strate.</w:t>
      </w:r>
    </w:p>
    <w:p>
      <w:pPr>
        <w:spacing w:after="80" w:line="264"/>
      </w:pPr>
      <w:r>
        <w:t xml:space="preserve">3. Attributs : taille pour test de conformité du CI (niveau de confiance, taux d'écart tolérable/attendu) — ce module permettrait ensuite d'alléger les travaux substantifs quand le CI est testé efficace, levée propre de la restriction actuelle (le QCI déclaratif ne le permet pas, conformément à ISA 330).</w:t>
      </w:r>
    </w:p>
    <w:p>
      <w:pPr>
        <w:spacing w:after="80" w:line="264"/>
      </w:pPr>
      <w:r>
        <w:t xml:space="preserve">4. Conserver : graine enregistrée, reproductibilité, conclusion IA.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D4 — Balance âgée automatique</w:t>
      </w:r>
    </w:p>
    <w:p>
      <w:pPr>
        <w:spacing w:after="160"/>
      </w:pPr>
      <w:r>
        <w:rPr>
          <w:b/>
          <w:bCs/>
          <w:color w:val="E36C09"/>
          <w:sz w:val="20"/>
          <w:szCs w:val="20"/>
        </w:rPr>
        <w:t xml:space="preserve">P1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S</w:t>
      </w:r>
    </w:p>
    <w:p>
      <w:pPr>
        <w:spacing w:after="120" w:line="276"/>
      </w:pPr>
      <w:r>
        <w:rPr>
          <w:b/>
          <w:bCs/>
        </w:rPr>
        <w:t xml:space="preserve">Ce que fait Caseware (IDEA) : </w:t>
      </w:r>
      <w:r>
        <w:t xml:space="preserve">aging clients/fournisseurs par tranches (0-30, 31-60, 61-90, 90+), base des tests de dépréciation.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le contrôle VENTE-CREANCES-ECHUES détecte les créances &gt; 90 jours, mais il n'y a pas de balance âgée complète ni d'équivalent fournisseurs.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Construction de la balance âgée par tiers (41x et 40x) par lettrage approché (rapprochement facture/règlement par montant et chronologie — heuristique documentée).</w:t>
      </w:r>
    </w:p>
    <w:p>
      <w:pPr>
        <w:spacing w:after="80" w:line="264"/>
      </w:pPr>
      <w:r>
        <w:t xml:space="preserve">2. Tranches paramétrables, totaux par tranche, export au dossier.</w:t>
      </w:r>
    </w:p>
    <w:p>
      <w:pPr>
        <w:spacing w:after="80" w:line="264"/>
      </w:pPr>
      <w:r>
        <w:t xml:space="preserve">3. Lien avec la provision : l'IA propose une estimation de dépréciation à partir de la balance âgée (calcul déterministe des assiettes, taux proposés à valider par l'auditeur).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D5 — Import élargi et auto-détection renforcée</w:t>
      </w:r>
    </w:p>
    <w:p>
      <w:pPr>
        <w:spacing w:after="160"/>
      </w:pPr>
      <w:r>
        <w:rPr>
          <w:b/>
          <w:bCs/>
          <w:color w:val="E36C09"/>
          <w:sz w:val="20"/>
          <w:szCs w:val="20"/>
        </w:rPr>
        <w:t xml:space="preserve">P1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connecteurs vers la plupart des logiciels comptables + import générique très robuste.</w:t>
      </w:r>
    </w:p>
    <w:p>
      <w:pPr>
        <w:spacing w:after="120" w:line="276"/>
      </w:pPr>
      <w:r>
        <w:rPr>
          <w:b/>
          <w:bCs/>
        </w:rPr>
        <w:t xml:space="preserve">Travaux</w:t>
      </w:r>
      <w:r>
        <w:t xml:space="preserve"> (adaptés à la cible Djibouti / zone franc / France) :</w:t>
      </w:r>
    </w:p>
    <w:p>
      <w:pPr>
        <w:spacing w:after="80" w:line="264"/>
      </w:pPr>
      <w:r>
        <w:t xml:space="preserve">1. Parseur FEC natif (format normalisé français — répandu aussi chez les filiales) : mapping automatique complet sans IA, y compris JournalCode/EcritureDate/PieceRef — alimente directement D1.</w:t>
      </w:r>
    </w:p>
    <w:p>
      <w:pPr>
        <w:spacing w:after="80" w:line="264"/>
      </w:pPr>
      <w:r>
        <w:t xml:space="preserve">2. Profils d'import mémorisés par client (le mapping validé en N est proposé en N+1 — synergie M6).</w:t>
      </w:r>
    </w:p>
    <w:p>
      <w:pPr>
        <w:spacing w:after="80" w:line="264"/>
      </w:pPr>
      <w:r>
        <w:t xml:space="preserve">3. Tolérance accrue : encodages, séparateurs, formats de montants (1.234,56 / 1 234,56), balances sur plusieurs blocs.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D6 — Rapprochements génériques de fichiers</w:t>
      </w:r>
    </w:p>
    <w:p>
      <w:pPr>
        <w:spacing w:after="160"/>
      </w:pPr>
      <w:r>
        <w:rPr>
          <w:b/>
          <w:bCs/>
          <w:color w:val="1F6F3F"/>
          <w:sz w:val="20"/>
          <w:szCs w:val="20"/>
        </w:rPr>
        <w:t xml:space="preserve">P2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(IDEA) : </w:t>
      </w:r>
      <w:r>
        <w:t xml:space="preserve">jointures entre fichiers quelconques (facturier ↔ GL, paie ↔ registre RH, stock physique ↔ stock comptable), avec correspondances exactes ou approchées.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Module « Rapprochement » : deux sources importées, choix des clés (exactes ou approchées : montant ± tolérance, date ± n jours), résultat en trois listes — appariés / présents seulement à gauche / seulement à droite.</w:t>
      </w:r>
    </w:p>
    <w:p>
      <w:pPr>
        <w:spacing w:after="80" w:line="264"/>
      </w:pPr>
      <w:r>
        <w:t xml:space="preserve">2. Chaque non-apparié significatif devient une exception standard (interprétation IA).</w:t>
      </w:r>
    </w:p>
    <w:p>
      <w:pPr>
        <w:spacing w:after="80" w:line="264"/>
      </w:pPr>
      <w:r>
        <w:t xml:space="preserve">3. L'IA propose les clés de jointure probables (classification de colonnes, patron Haiku existant) ; le calcul du rapprochement reste 100 % déterministe.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D7 — Passage aux gros volumes</w:t>
      </w:r>
    </w:p>
    <w:p>
      <w:pPr>
        <w:spacing w:after="160"/>
      </w:pPr>
      <w:r>
        <w:rPr>
          <w:b/>
          <w:bCs/>
          <w:color w:val="1F6F3F"/>
          <w:sz w:val="20"/>
          <w:szCs w:val="20"/>
        </w:rPr>
        <w:t xml:space="preserve">P2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(IDEA) : </w:t>
      </w:r>
      <w:r>
        <w:t xml:space="preserve">millions de lignes sans broncher.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SQLite + pandas conviennent aux PME ; un grand livre de plusieurs millions de lignes dégradera l'expérience et JET (D1) est justement le module le plus volumineux.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Benchmarks sur GL synthétiques (1 M, 5 M, 20 M lignes) pour objectiver le besoin réel.</w:t>
      </w:r>
    </w:p>
    <w:p>
      <w:pPr>
        <w:spacing w:after="80" w:line="264"/>
      </w:pPr>
      <w:r>
        <w:t xml:space="preserve">2. Introduire DuckDB (ou Polars) comme moteur de calcul des contrôles sur les tables volumineuses, en gardant SQLite comme stockage du dossier (métadonnées, exceptions, journal).</w:t>
      </w:r>
    </w:p>
    <w:p>
      <w:pPr>
        <w:spacing w:after="80" w:line="264"/>
      </w:pPr>
      <w:r>
        <w:t xml:space="preserve">3. Pagination/virtualisation des tableaux côté UI.</w:t>
      </w:r>
    </w:p>
    <w:p>
      <w:pPr>
        <w:spacing w:after="120" w:line="276"/>
      </w:pPr>
      <w:r>
        <w:rPr>
          <w:b/>
          <w:bCs/>
        </w:rPr>
        <w:t xml:space="preserve">Note : </w:t>
      </w:r>
      <w:r>
        <w:t xml:space="preserve">à ne lancer qu'après D1/D2/D6 — optimiser avant d'avoir les usages serait prématuré.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2"/>
        <w:spacing w:after="150" w:before="300"/>
      </w:pPr>
      <w:r>
        <w:t xml:space="preserve">Axe C — Dossier de travail et revue</w:t>
      </w:r>
    </w:p>
    <w:p>
      <w:pPr>
        <w:pStyle w:val="Heading3"/>
        <w:spacing w:after="60" w:before="320"/>
      </w:pPr>
      <w:r>
        <w:rPr>
          <w:b/>
          <w:bCs/>
        </w:rPr>
        <w:t xml:space="preserve">C1 — Verrouillage du dossier conforme ISA 230</w:t>
      </w:r>
    </w:p>
    <w:p>
      <w:pPr>
        <w:spacing w:after="160"/>
      </w:pPr>
      <w:r>
        <w:rPr>
          <w:b/>
          <w:bCs/>
          <w:color w:val="E36C09"/>
          <w:sz w:val="20"/>
          <w:szCs w:val="20"/>
        </w:rPr>
        <w:t xml:space="preserve">P1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S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gel du dossier à l'issue du délai d'assemblage (60 jours après le rapport), toute modification ultérieure documentée, protection d'intégrité.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l'archivage lecture seule existe, mais sans notion de date de rapport, de délai d'assemblage, ni de preuve d'intégrité.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Champ date de signature du rapport sur la mission ; compte à rebours des 60 jours affiché ; rappel à l'approche de l'échéance.</w:t>
      </w:r>
    </w:p>
    <w:p>
      <w:pPr>
        <w:spacing w:after="80" w:line="264"/>
      </w:pPr>
      <w:r>
        <w:t xml:space="preserve">2. Au verrouillage : empreinte SHA-256 de la base et des fichiers importés, enregistrée dans le journal et dans l'export ZIP — preuve d'intégrité vérifiable à la restauration.</w:t>
      </w:r>
    </w:p>
    <w:p>
      <w:pPr>
        <w:spacing w:after="80" w:line="264"/>
      </w:pPr>
      <w:r>
        <w:t xml:space="preserve">3. Déverrouillage exceptionnel : motif obligatoire, journalisé, mention au dossier (exigence ISA 230).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C2 — Dossier de travail interactif</w:t>
      </w:r>
    </w:p>
    <w:p>
      <w:pPr>
        <w:spacing w:after="160"/>
      </w:pPr>
      <w:r>
        <w:rPr>
          <w:b/>
          <w:bCs/>
          <w:color w:val="1F6F3F"/>
          <w:sz w:val="20"/>
          <w:szCs w:val="20"/>
        </w:rPr>
        <w:t xml:space="preserve">P2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4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L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le dossier est un espace navigable : index normalisé des feuilles (A = acceptation, B = planification…), références croisées cliquables, tickmarks, statut par feuille.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la navigation actuelle est le pipeline par étapes ; le « dossier » n'existe qu'au moment de l'export Word.</w:t>
      </w:r>
    </w:p>
    <w:p>
      <w:pPr>
        <w:spacing w:after="120" w:line="276"/>
      </w:pPr>
      <w:r>
        <w:rPr>
          <w:b/>
          <w:bCs/>
        </w:rPr>
        <w:t xml:space="preserve">Travaux :</w:t>
      </w:r>
    </w:p>
    <w:p>
      <w:pPr>
        <w:spacing w:after="80" w:line="264"/>
      </w:pPr>
      <w:r>
        <w:t xml:space="preserve">1. Index de dossier : arborescence normalisée regroupant tout ce qui existe déjà (note de planification, QCI, feuilles maîtresses, contrôles, exceptions, sondages, circularisations, lettres) avec cotation automatique (A-1, C-2.3…).</w:t>
      </w:r>
    </w:p>
    <w:p>
      <w:pPr>
        <w:spacing w:after="80" w:line="264"/>
      </w:pPr>
      <w:r>
        <w:t xml:space="preserve">2. Références croisées : toute valeur affichée pointe vers sa DonneeSourcee (la provenance existe déjà — il s'agit de la rendre navigable) et les documents se citent par cote.</w:t>
      </w:r>
    </w:p>
    <w:p>
      <w:pPr>
        <w:spacing w:after="80" w:line="264"/>
      </w:pPr>
      <w:r>
        <w:t xml:space="preserve">3. Tickmarks et annotations de l'auditeur sur chaque document (persistés, exportés).</w:t>
      </w:r>
    </w:p>
    <w:p>
      <w:pPr>
        <w:spacing w:after="80" w:line="264"/>
      </w:pPr>
      <w:r>
        <w:t xml:space="preserve">4. L'export Word devient une projection de l'index (ordre et cotes identiques à l'écran).</w:t>
      </w:r>
    </w:p>
    <w:p>
      <w:pPr>
        <w:spacing w:after="120" w:line="276"/>
      </w:pPr>
      <w:r>
        <w:rPr>
          <w:b/>
          <w:bCs/>
        </w:rPr>
        <w:t xml:space="preserve">Point d'attention : </w:t>
      </w:r>
      <w:r>
        <w:t xml:space="preserve">c'est le chantier UI le plus lourd ; le découper (index → cotes → annotations → références croisées).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C3 — Workflow de revue et sign-off</w:t>
      </w:r>
    </w:p>
    <w:p>
      <w:pPr>
        <w:spacing w:after="160"/>
      </w:pPr>
      <w:r>
        <w:rPr>
          <w:b/>
          <w:bCs/>
          <w:color w:val="1F6F3F"/>
          <w:sz w:val="20"/>
          <w:szCs w:val="20"/>
        </w:rPr>
        <w:t xml:space="preserve">P2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notes de revue adressées, réponses, statuts de préparation/revue par feuille, signatures à plusieurs niveaux, tableau de bord d'avancement.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mono-utilisateur, signature déclarative unique.</w:t>
      </w:r>
    </w:p>
    <w:p>
      <w:pPr>
        <w:spacing w:after="120" w:line="276"/>
      </w:pPr>
      <w:r>
        <w:rPr>
          <w:b/>
          <w:bCs/>
        </w:rPr>
        <w:t xml:space="preserve">Travaux</w:t>
      </w:r>
      <w:r>
        <w:t xml:space="preserve"> (version mono-poste d'abord — sans attendre C4) :</w:t>
      </w:r>
    </w:p>
    <w:p>
      <w:pPr>
        <w:spacing w:after="80" w:line="264"/>
      </w:pPr>
      <w:r>
        <w:t xml:space="preserve">1. Rôles nominatifs sur la mission (préparateur, réviseur, signataire) — toujours déclaratifs (pas de comptes), mais chaque action porte son rôle et la piste d'audit les distingue.</w:t>
      </w:r>
    </w:p>
    <w:p>
      <w:pPr>
        <w:spacing w:after="80" w:line="264"/>
      </w:pPr>
      <w:r>
        <w:t xml:space="preserve">2. Notes de revue : sur toute pièce du dossier, une note « à traiter » adressée, avec réponse et clôture ; l'étape generation exige zéro note ouverte.</w:t>
      </w:r>
    </w:p>
    <w:p>
      <w:pPr>
        <w:spacing w:after="80" w:line="264"/>
      </w:pPr>
      <w:r>
        <w:t xml:space="preserve">3. Sign-off à deux niveaux sur les éléments sensibles (seuil, cartographie des risques, exceptions critiques, dossier final) : préparé par X / revu par Y, horodaté.</w:t>
      </w:r>
    </w:p>
    <w:p>
      <w:pPr>
        <w:spacing w:after="80" w:line="264"/>
      </w:pPr>
      <w:r>
        <w:t xml:space="preserve">4. Tableau de bord d'avancement par cycle et par étape.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C4 — Multi-utilisateurs et synchronisation</w:t>
      </w:r>
    </w:p>
    <w:p>
      <w:pPr>
        <w:spacing w:after="160"/>
      </w:pPr>
      <w:r>
        <w:rPr>
          <w:b/>
          <w:bCs/>
          <w:color w:val="808080"/>
          <w:sz w:val="20"/>
          <w:szCs w:val="20"/>
        </w:rPr>
        <w:t xml:space="preserve">P3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5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XL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travail simultané, SmartSync (hors ligne + fusion), droits fins.</w:t>
      </w:r>
    </w:p>
    <w:p>
      <w:pPr>
        <w:spacing w:after="120" w:line="276"/>
      </w:pPr>
      <w:r>
        <w:rPr>
          <w:b/>
          <w:bCs/>
        </w:rPr>
        <w:t xml:space="preserve">Pourquoi P3 : </w:t>
      </w:r>
      <w:r>
        <w:t xml:space="preserve">contredit l'hypothèse fondatrice actuelle (SQLite local mono-poste) et la cible MVP (petit cabinet). À instruire seulement si la cible commerciale évolue vers des équipes.</w:t>
      </w:r>
    </w:p>
    <w:p>
      <w:pPr>
        <w:spacing w:after="120" w:line="276"/>
      </w:pPr>
      <w:r>
        <w:rPr>
          <w:b/>
          <w:bCs/>
        </w:rPr>
        <w:t xml:space="preserve">Options à étudier le moment venu : </w:t>
      </w:r>
      <w:r>
        <w:t xml:space="preserve">(a) serveur central léger (PostgreSQL + API existante déployée) ; (b) partage de dossier à tour de rôle avec verrou d'édition (checkout/checkin sur un partage de fichiers) — l'option (b) est très inférieure mais atteignable, l'option (a) est la vraie réponse mais reclasse Probare en client-serveur (authentification, droits, migration).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2"/>
        <w:spacing w:after="150" w:before="300"/>
      </w:pPr>
      <w:r>
        <w:t xml:space="preserve">Axe P — Production et écosystème</w:t>
      </w:r>
    </w:p>
    <w:p>
      <w:pPr>
        <w:pStyle w:val="Heading3"/>
        <w:spacing w:after="60" w:before="320"/>
      </w:pPr>
      <w:r>
        <w:rPr>
          <w:b/>
          <w:bCs/>
        </w:rPr>
        <w:t xml:space="preserve">P1 — Circularisation : envoi et suivi intégrés</w:t>
      </w:r>
    </w:p>
    <w:p>
      <w:pPr>
        <w:spacing w:after="160"/>
      </w:pPr>
      <w:r>
        <w:rPr>
          <w:b/>
          <w:bCs/>
          <w:color w:val="1F6F3F"/>
          <w:sz w:val="20"/>
          <w:szCs w:val="20"/>
        </w:rPr>
        <w:t xml:space="preserve">P2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M</w:t>
      </w:r>
    </w:p>
    <w:p>
      <w:pPr>
        <w:spacing w:after="120" w:line="276"/>
      </w:pPr>
      <w:r>
        <w:rPr>
          <w:b/>
          <w:bCs/>
        </w:rPr>
        <w:t xml:space="preserve">Ce que fait Caseware (Validate) : </w:t>
      </w:r>
      <w:r>
        <w:t xml:space="preserve">envoi électronique réel des demandes de confirmation, réponses collectées sur plateforme, traçabilité complète.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génération des lettres + suivi manuel (envoyé/relancé/reçu saisi à la main).</w:t>
      </w:r>
    </w:p>
    <w:p>
      <w:pPr>
        <w:spacing w:after="120" w:line="276"/>
      </w:pPr>
      <w:r>
        <w:rPr>
          <w:b/>
          <w:bCs/>
        </w:rPr>
        <w:t xml:space="preserve">Travaux</w:t>
      </w:r>
      <w:r>
        <w:t xml:space="preserve"> (sans plateforme tierce — irréaliste à l'échelle de Probare) :</w:t>
      </w:r>
    </w:p>
    <w:p>
      <w:pPr>
        <w:spacing w:after="80" w:line="264"/>
      </w:pPr>
      <w:r>
        <w:t xml:space="preserve">1. Envoi email intégré (SMTP du cabinet paramétré dans la fiche Cabinet) : lettre PDF jointe, copie archivée au dossier, date d'envoi automatique — supprime la saisie manuelle « envoyé ».</w:t>
      </w:r>
    </w:p>
    <w:p>
      <w:pPr>
        <w:spacing w:after="80" w:line="264"/>
      </w:pPr>
      <w:r>
        <w:t xml:space="preserve">2. Relances programmées (proposées à J+15, envoyées après confirmation de l'auditeur).</w:t>
      </w:r>
    </w:p>
    <w:p>
      <w:pPr>
        <w:spacing w:after="80" w:line="264"/>
      </w:pPr>
      <w:r>
        <w:t xml:space="preserve">3. Adresse de réponse dédiée par mission en objet normalisé pour rattacher les réponses ; à réception (import manuel du PDF/email), extraction IA du solde confirmé via le module Dossier brut existant, écart calculé comme aujourd'hui.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P2 — États financiers liés à la balance</w:t>
      </w:r>
    </w:p>
    <w:p>
      <w:pPr>
        <w:spacing w:after="160"/>
      </w:pPr>
      <w:r>
        <w:rPr>
          <w:b/>
          <w:bCs/>
          <w:color w:val="808080"/>
          <w:sz w:val="20"/>
          <w:szCs w:val="20"/>
        </w:rPr>
        <w:t xml:space="preserve">P3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4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XL</w:t>
      </w:r>
    </w:p>
    <w:p>
      <w:pPr>
        <w:spacing w:after="120" w:line="276"/>
      </w:pPr>
      <w:r>
        <w:rPr>
          <w:b/>
          <w:bCs/>
        </w:rPr>
        <w:t xml:space="preserve">Ce que fait Caseware (CaseView/Financials) : </w:t>
      </w:r>
      <w:r>
        <w:t xml:space="preserve">états financiers complets et annexes générés depuis la balance mappée, recalculés à chaque ajustement.</w:t>
      </w:r>
    </w:p>
    <w:p>
      <w:pPr>
        <w:spacing w:after="120" w:line="276"/>
      </w:pPr>
      <w:r>
        <w:rPr>
          <w:b/>
          <w:bCs/>
        </w:rPr>
        <w:t xml:space="preserve">Pourquoi P3 : </w:t>
      </w:r>
      <w:r>
        <w:t xml:space="preserve">Probare audite des comptes établis par ailleurs ; produire les états financiers est le métier de l'expert-comptable, pas de l'auditeur. La valeur pour la mission d'audit est la comparaison états présentés / balance auditée, pas la production.</w:t>
      </w:r>
    </w:p>
    <w:p>
      <w:pPr>
        <w:spacing w:after="120" w:line="276"/>
      </w:pPr>
      <w:r>
        <w:rPr>
          <w:b/>
          <w:bCs/>
        </w:rPr>
        <w:t xml:space="preserve">Alternative recommandée </w:t>
      </w:r>
      <w:r>
        <w:t xml:space="preserve">(difficulté 2, charge M — à faire en P1 si M1 est livré) : un contrôle « cadrage états financiers » : l'auditeur importe le bilan/compte de résultat présentés (ou les saisit par rubrique), Probare mappe la balance ajustée sur les rubriques et signale tout écart — c'est la diligence d'audit réelle, à 10 % du coût de CaseView.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P3 — Consolidation et multi-devises</w:t>
      </w:r>
    </w:p>
    <w:p>
      <w:pPr>
        <w:spacing w:after="160"/>
      </w:pPr>
      <w:r>
        <w:rPr>
          <w:b/>
          <w:bCs/>
          <w:color w:val="808080"/>
          <w:sz w:val="20"/>
          <w:szCs w:val="20"/>
        </w:rPr>
        <w:t xml:space="preserve">P3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5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XL</w:t>
      </w:r>
    </w:p>
    <w:p>
      <w:pPr>
        <w:spacing w:after="120" w:line="276"/>
      </w:pPr>
      <w:r>
        <w:rPr>
          <w:b/>
          <w:bCs/>
        </w:rPr>
        <w:t xml:space="preserve">Ce que fait Caseware : </w:t>
      </w:r>
      <w:r>
        <w:t xml:space="preserve">consolidation multi-entités, conversion multi-devises.</w:t>
      </w:r>
    </w:p>
    <w:p>
      <w:pPr>
        <w:spacing w:after="120" w:line="276"/>
      </w:pPr>
      <w:r>
        <w:rPr>
          <w:b/>
          <w:bCs/>
        </w:rPr>
        <w:t xml:space="preserve">Pourquoi P3 : </w:t>
      </w:r>
      <w:r>
        <w:t xml:space="preserve">hors cible PME mono-entité actuelle. N'instruire qu'en cas de demande client avérée (groupes locaux). Prérequis : P2, M1, et une refonte du modèle « une mission = une entité ».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3"/>
        <w:spacing w:after="60" w:before="320"/>
      </w:pPr>
      <w:r>
        <w:rPr>
          <w:b/>
          <w:bCs/>
        </w:rPr>
        <w:t xml:space="preserve">P4 — Portail client PBC</w:t>
      </w:r>
    </w:p>
    <w:p>
      <w:pPr>
        <w:spacing w:after="160"/>
      </w:pPr>
      <w:r>
        <w:rPr>
          <w:b/>
          <w:bCs/>
          <w:color w:val="808080"/>
          <w:sz w:val="20"/>
          <w:szCs w:val="20"/>
        </w:rPr>
        <w:t xml:space="preserve">P3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difficulté 4</w:t>
      </w:r>
      <w:r>
        <w:rPr>
          <w:color w:val="808080"/>
          <w:sz w:val="20"/>
          <w:szCs w:val="20"/>
        </w:rPr>
        <w:t xml:space="preserve">   ·   </w:t>
      </w:r>
      <w:r>
        <w:rPr>
          <w:b/>
          <w:bCs/>
          <w:color w:val="2E5C8A"/>
          <w:sz w:val="20"/>
          <w:szCs w:val="20"/>
        </w:rPr>
        <w:t xml:space="preserve">charge L</w:t>
      </w:r>
    </w:p>
    <w:p>
      <w:pPr>
        <w:spacing w:after="120" w:line="276"/>
      </w:pPr>
      <w:r>
        <w:rPr>
          <w:b/>
          <w:bCs/>
        </w:rPr>
        <w:t xml:space="preserve">Ce que fait Caseware (Cloud) : </w:t>
      </w:r>
      <w:r>
        <w:t xml:space="preserve">liste de demandes au client, dépôt de fichiers, relances, suivi d'avancement.</w:t>
      </w:r>
    </w:p>
    <w:p>
      <w:pPr>
        <w:spacing w:after="120" w:line="276"/>
      </w:pPr>
      <w:r>
        <w:rPr>
          <w:b/>
          <w:bCs/>
        </w:rPr>
        <w:t xml:space="preserve">Écart Probare : </w:t>
      </w:r>
      <w:r>
        <w:t xml:space="preserve">checklist interne des documents attendus, sans interaction client.</w:t>
      </w:r>
    </w:p>
    <w:p>
      <w:pPr>
        <w:spacing w:after="120" w:line="276"/>
      </w:pPr>
      <w:r>
        <w:rPr>
          <w:b/>
          <w:bCs/>
        </w:rPr>
        <w:t xml:space="preserve">Version intermédiaire raisonnable </w:t>
      </w:r>
      <w:r>
        <w:t xml:space="preserve">(difficulté 2, charge S) : générer depuis la checklist un email de demande de pièces (IA) avec relances tracées — sans portail. Le portail web complet suppose un composant hébergé et change le modèle de déploiement : à coupler avec C4 si un jour la plateforme devient client-serveur.</w:t>
      </w:r>
    </w:p>
    <w:p>
      <w:pPr>
        <w:pBdr>
          <w:bottom w:val="single" w:color="B7C4D6" w:sz="6"/>
        </w:pBdr>
        <w:spacing w:after="200" w:before="200"/>
      </w:pPr>
    </w:p>
    <w:p>
      <w:pPr>
        <w:pStyle w:val="Heading1"/>
        <w:spacing w:after="200" w:before="400"/>
      </w:pPr>
      <w:r>
        <w:t xml:space="preserve">4. Feuille de route proposée</w:t>
      </w:r>
    </w:p>
    <w:p>
      <w:pPr>
        <w:pStyle w:val="Heading2"/>
        <w:spacing w:after="150" w:before="300"/>
      </w:pPr>
      <w:r>
        <w:t xml:space="preserve">Phase 1 — « Dossier normativement complet » (≈ 1 trimestre)</w:t>
      </w:r>
    </w:p>
    <w:p>
      <w:pPr>
        <w:spacing w:after="120" w:line="276"/>
      </w:pPr>
      <w:r>
        <w:t xml:space="preserve">M2 (quick win) → M1 → M4 → D1 → M3 (livré par norme : 240, 570, 580 d'abord).</w:t>
      </w:r>
    </w:p>
    <w:p>
      <w:pPr>
        <w:spacing w:after="120" w:line="276"/>
      </w:pPr>
      <w:r>
        <w:rPr>
          <w:i/>
          <w:iCs/>
        </w:rPr>
        <w:t xml:space="preserve">Sortie de phase : </w:t>
      </w:r>
      <w:r>
        <w:rPr>
          <w:i/>
          <w:iCs/>
        </w:rPr>
        <w:t xml:space="preserve">un dossier Probare tient face à un contrôle qualité sur les exigences ISA centrales, y compris fraude, continuité et déclarations écrites.</w:t>
      </w:r>
    </w:p>
    <w:p>
      <w:pPr>
        <w:pStyle w:val="Heading2"/>
        <w:spacing w:after="150" w:before="300"/>
      </w:pPr>
      <w:r>
        <w:t xml:space="preserve">Phase 2 — « Parité data &amp; travail annuel » (≈ 1 trimestre)</w:t>
      </w:r>
    </w:p>
    <w:p>
      <w:pPr>
        <w:spacing w:after="120" w:line="276"/>
      </w:pPr>
      <w:r>
        <w:t xml:space="preserve">D2 → D4 → D3 → D5 → M6 → C1 → M5 → fin de M3 (210/220, 550, 560, 260/265) → alternative P2 (cadrage états financiers).</w:t>
      </w:r>
    </w:p>
    <w:p>
      <w:pPr>
        <w:spacing w:after="120" w:line="276"/>
      </w:pPr>
      <w:r>
        <w:rPr>
          <w:i/>
          <w:iCs/>
        </w:rPr>
        <w:t xml:space="preserve">Sortie de phase : </w:t>
      </w:r>
      <w:r>
        <w:rPr>
          <w:i/>
          <w:iCs/>
        </w:rPr>
        <w:t xml:space="preserve">l'essentiel de ce qu'un utilisateur IDEA attend au quotidien, plus le roll-forward et le verrouillage conformes.</w:t>
      </w:r>
    </w:p>
    <w:p>
      <w:pPr>
        <w:pStyle w:val="Heading2"/>
        <w:spacing w:after="150" w:before="300"/>
      </w:pPr>
      <w:r>
        <w:t xml:space="preserve">Phase 3 — « Productivité de revue » (≈ 1 trimestre)</w:t>
      </w:r>
    </w:p>
    <w:p>
      <w:pPr>
        <w:spacing w:after="120" w:line="276"/>
      </w:pPr>
      <w:r>
        <w:t xml:space="preserve">C3 → C2 → D6 → P1 → D7 → version intermédiaire P4.</w:t>
      </w:r>
    </w:p>
    <w:p>
      <w:pPr>
        <w:spacing w:after="120" w:line="276"/>
      </w:pPr>
      <w:r>
        <w:rPr>
          <w:i/>
          <w:iCs/>
        </w:rPr>
        <w:t xml:space="preserve">Sortie de phase : </w:t>
      </w:r>
      <w:r>
        <w:rPr>
          <w:i/>
          <w:iCs/>
        </w:rPr>
        <w:t xml:space="preserve">le dossier se navigue, se revoit et se signe comme dans Working Papers.</w:t>
      </w:r>
    </w:p>
    <w:p>
      <w:pPr>
        <w:pStyle w:val="Heading2"/>
        <w:spacing w:after="150" w:before="300"/>
      </w:pPr>
      <w:r>
        <w:t xml:space="preserve">Phase 4 — « Parité plateforme » (non planifiée — décision produit préalable)</w:t>
      </w:r>
    </w:p>
    <w:p>
      <w:pPr>
        <w:spacing w:after="120" w:line="276"/>
      </w:pPr>
      <w:r>
        <w:t xml:space="preserve">C4, P2 complet, P3, P4 complet. À n'ouvrir que si la cible commerciale dépasse le cabinet mono-poste.</w:t>
      </w:r>
    </w:p>
    <w:p>
      <w:pPr>
        <w:pStyle w:val="Heading2"/>
        <w:spacing w:after="150" w:before="300"/>
      </w:pPr>
      <w:r>
        <w:t xml:space="preserve">Quick wins (à glisser dès que possible, &lt; 1 semaine chacun)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Réf</w:t>
            </w:r>
          </w:p>
        </w:tc>
        <w:tc>
          <w:tcPr>
            <w:tcW w:type="dxa" w:w="6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Quick win</w:t>
            </w:r>
          </w:p>
        </w:tc>
        <w:tc>
          <w:tcPr>
            <w:tcW w:type="dxa" w:w="1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Difficulté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6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Seuil des anomalies manifestement insignifiantes</w:t>
            </w:r>
          </w:p>
        </w:tc>
        <w:tc>
          <w:tcPr>
            <w:tcW w:type="dxa" w:w="1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D2</w:t>
            </w:r>
          </w:p>
        </w:tc>
        <w:tc>
          <w:tcPr>
            <w:tcW w:type="dxa" w:w="6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Loi de Benford</w:t>
            </w:r>
          </w:p>
        </w:tc>
        <w:tc>
          <w:tcPr>
            <w:tcW w:type="dxa" w:w="1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6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Balance âgée</w:t>
            </w:r>
          </w:p>
        </w:tc>
        <w:tc>
          <w:tcPr>
            <w:tcW w:type="dxa" w:w="1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C1</w:t>
            </w:r>
          </w:p>
        </w:tc>
        <w:tc>
          <w:tcPr>
            <w:tcW w:type="dxa" w:w="6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Hash d'intégrité + délai d'assemblage 60 jours</w:t>
            </w:r>
          </w:p>
        </w:tc>
        <w:tc>
          <w:tcPr>
            <w:tcW w:type="dxa" w:w="1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P4bis</w:t>
            </w:r>
          </w:p>
        </w:tc>
        <w:tc>
          <w:tcPr>
            <w:tcW w:type="dxa" w:w="6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 de demande de pièces généré depuis la checklist</w:t>
            </w:r>
          </w:p>
        </w:tc>
        <w:tc>
          <w:tcPr>
            <w:tcW w:type="dxa" w:w="16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Ce qu'il ne faut PAS copier de Caseware</w:t>
      </w:r>
    </w:p>
    <w:p>
      <w:pPr>
        <w:spacing w:after="80" w:line="264"/>
      </w:pPr>
      <w:r>
        <w:t xml:space="preserve">1. Le modèle « formulaires à remplir ». La force de Probare est l'inversion : le moteur exécute, l'IA instruit, l'humain signe. Chaque chantier ci-dessus doit être livré dans ce modèle (ex. : M3 = questionnaires dépouillés par l'IA, pas des formulaires morts).</w:t>
      </w:r>
    </w:p>
    <w:p>
      <w:pPr>
        <w:spacing w:after="80" w:line="264"/>
      </w:pPr>
      <w:r>
        <w:t xml:space="preserve">2. La production des états financiers (CaseView complet). Métier d'expert-comptable, coût XL, valeur d'audit faible — préférer le contrôle de cadrage (alternative P2).</w:t>
      </w:r>
    </w:p>
    <w:p>
      <w:pPr>
        <w:spacing w:after="80" w:line="264"/>
      </w:pPr>
      <w:r>
        <w:t xml:space="preserve">3. La plateforme cloud obligatoire. La confidentialité locale (SQLite + pseudonymisation + consentement) est un argument commercial face à Caseware — ne l'abandonner que sur preuve de demande (C4/P4).</w:t>
      </w:r>
    </w:p>
    <w:p>
      <w:pPr>
        <w:spacing w:after="80" w:line="264"/>
      </w:pPr>
      <w:r>
        <w:t xml:space="preserve">4. L'IA « assistant sur demande » (AiDA). Probare est déjà au-delà : interprétation automatique, garde-fous durs, provenance obligatoire. C'est le différenciateur à protéger dans chaque nouveau module : aucun chantier de ce plan ne doit introduire un chiffre qui ne soit pas une DonneeSourcee, ni un texte IA non signé par l'auditeur.</w:t>
      </w:r>
    </w:p>
    <w:p>
      <w:pPr>
        <w:spacing w:before="300"/>
      </w:pPr>
    </w:p>
    <w:p>
      <w:pPr>
        <w:spacing w:after="120" w:line="276"/>
      </w:pPr>
      <w:r>
        <w:rPr>
          <w:i/>
          <w:iCs/>
        </w:rPr>
        <w:t xml:space="preserve">Document de travail interne — à réviser après chaque phase. Les charges sont indicatives pour un développeur connaissant la base de code ; les priorités P0 reflètent les exigences des ISA pour un dossier complet, pas une urgence commerciale.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2026-07-21T08:39:23.387Z</dcterms:created>
  <dcterms:modified xsi:type="dcterms:W3CDTF">2026-07-21T08:39:23.389Z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