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56"/>
        </w:rPr>
        <w:t>PROBARE</w:t>
      </w:r>
    </w:p>
    <w:p>
      <w:pPr>
        <w:jc w:val="center"/>
      </w:pPr>
      <w:r>
        <w:rPr>
          <w:i/>
        </w:rPr>
        <w:t>Logiciel d'audit IA-first — Djibouti</w:t>
      </w:r>
    </w:p>
    <w:p/>
    <w:p>
      <w:pPr>
        <w:pStyle w:val="Title"/>
        <w:jc w:val="center"/>
      </w:pPr>
      <w:r>
        <w:t>NOTE DE PLANIFICATION DE L'AUDIT</w:t>
      </w:r>
    </w:p>
    <w:p/>
    <w:p>
      <w:pPr>
        <w:spacing w:after="0"/>
      </w:pPr>
      <w:r>
        <w:rPr>
          <w:sz w:val="16"/>
        </w:rPr>
        <w:t>────────────────────────────────────────────────────────────────────────────────</w:t>
      </w:r>
    </w:p>
    <w:p/>
    <w:p>
      <w:pPr>
        <w:jc w:val="center"/>
      </w:pPr>
      <w:r>
        <w:rPr>
          <w:sz w:val="24"/>
        </w:rPr>
        <w:t>Entité auditée : NNNN</w:t>
        <w:br/>
      </w:r>
      <w:r>
        <w:rPr>
          <w:sz w:val="24"/>
        </w:rPr>
        <w:t>Exercice : 2026</w:t>
        <w:br/>
      </w:r>
      <w:r>
        <w:rPr>
          <w:sz w:val="24"/>
        </w:rPr>
        <w:t>Date d'émission : 23/06/2026 13:54 UTC</w:t>
        <w:br/>
      </w:r>
      <w:r>
        <w:rPr>
          <w:sz w:val="24"/>
        </w:rPr>
        <w:t>Référence NEP : 300 — Planification</w:t>
        <w:br/>
      </w:r>
      <w:r>
        <w:rPr>
          <w:sz w:val="24"/>
        </w:rPr>
        <w:t>Statut : Document de travail — CONFIDENTIEL</w:t>
        <w:br/>
      </w:r>
    </w:p>
    <w:p/>
    <w:p>
      <w:pPr>
        <w:spacing w:after="0"/>
      </w:pPr>
      <w:r>
        <w:rPr>
          <w:sz w:val="16"/>
        </w:rPr>
        <w:t>────────────────────────────────────────────────────────────────────────────────</w:t>
      </w:r>
    </w:p>
    <w:p>
      <w:r>
        <w:br w:type="page"/>
      </w:r>
    </w:p>
    <w:p>
      <w:pPr>
        <w:pStyle w:val="Heading1"/>
      </w:pPr>
      <w:r>
        <w:rPr>
          <w:color w:val="4F46E5"/>
        </w:rPr>
        <w:t>Sommaire</w:t>
      </w:r>
    </w:p>
    <w:p>
      <w:pPr>
        <w:pStyle w:val="ListNumber"/>
      </w:pPr>
      <w:r>
        <w:t>1. Cadre et objectifs de la mission</w:t>
      </w:r>
    </w:p>
    <w:p>
      <w:pPr>
        <w:pStyle w:val="ListNumber"/>
      </w:pPr>
      <w:r>
        <w:t>2. Connaissance de l'entité (NEP 315)</w:t>
      </w:r>
    </w:p>
    <w:p>
      <w:pPr>
        <w:pStyle w:val="ListNumber"/>
      </w:pPr>
      <w:r>
        <w:t>3. Procédures analytiques préliminaires (NEP 520)</w:t>
      </w:r>
    </w:p>
    <w:p>
      <w:pPr>
        <w:pStyle w:val="ListNumber"/>
      </w:pPr>
      <w:r>
        <w:t>4. Seuil de signification (NEP 320)</w:t>
      </w:r>
    </w:p>
    <w:p>
      <w:pPr>
        <w:pStyle w:val="ListNumber"/>
      </w:pPr>
      <w:r>
        <w:t>5. Cartographie des risques (NEP 315)</w:t>
      </w:r>
    </w:p>
    <w:p>
      <w:pPr>
        <w:pStyle w:val="ListNumber"/>
      </w:pPr>
      <w:r>
        <w:t>6. Programme de travail (NEP 300 / NEP 330)</w:t>
      </w:r>
    </w:p>
    <w:p>
      <w:pPr>
        <w:pStyle w:val="ListNumber"/>
      </w:pPr>
      <w:r>
        <w:t>7. Synthèse et conclusion</w:t>
      </w:r>
    </w:p>
    <w:p>
      <w:r>
        <w:br w:type="page"/>
      </w:r>
    </w:p>
    <w:p>
      <w:pPr>
        <w:pStyle w:val="Heading1"/>
      </w:pPr>
      <w:r>
        <w:rPr>
          <w:color w:val="4F46E5"/>
        </w:rPr>
        <w:t>1. Cadre et objectifs de la mission</w:t>
      </w:r>
    </w:p>
    <w:p>
      <w:r>
        <w:rPr>
          <w:b w:val="0"/>
          <w:i w:val="0"/>
          <w:sz w:val="22"/>
        </w:rPr>
        <w:t>La présente note de planification est établie conformément à la NEP 300 pour la mission d'audit des comptes de l'exercice 2026 de l'entité NNNN. Elle constitue un document de travail confidentiel intégré au dossier d'audit et doit être conservée pendant la durée légale (5 ans).</w:t>
      </w:r>
    </w:p>
    <w:p>
      <w:pPr>
        <w:pStyle w:val="Heading2"/>
      </w:pPr>
      <w:r>
        <w:t>1.1 Objectifs de l'audit</w:t>
      </w:r>
    </w:p>
    <w:p>
      <w:r>
        <w:rPr>
          <w:b w:val="0"/>
          <w:i w:val="0"/>
          <w:sz w:val="22"/>
        </w:rPr>
        <w:t>L'audit a pour objectif d'émettre une opinion sur la régularité, la sincérité et l'image fidèle des états financiers. Cet objectif est atteint par la mise en œuvre de diligences adaptées aux risques identifiés lors de la présente phase de planification.</w:t>
      </w:r>
    </w:p>
    <w:p>
      <w:pPr>
        <w:pStyle w:val="Heading2"/>
      </w:pPr>
      <w:r>
        <w:t>1.2 Référentiels applicables</w:t>
      </w:r>
    </w:p>
    <w:p>
      <w:pPr>
        <w:pStyle w:val="ListBullet"/>
      </w:pPr>
      <w:r>
        <w:t>NEP 300 — Planification de la mission</w:t>
      </w:r>
    </w:p>
    <w:p>
      <w:pPr>
        <w:pStyle w:val="ListBullet"/>
      </w:pPr>
      <w:r>
        <w:t>NEP 315 — Connaissance de l'entité et identification des risques</w:t>
      </w:r>
    </w:p>
    <w:p>
      <w:pPr>
        <w:pStyle w:val="ListBullet"/>
      </w:pPr>
      <w:r>
        <w:t>NEP 320 — Seuil de signification</w:t>
      </w:r>
    </w:p>
    <w:p>
      <w:pPr>
        <w:pStyle w:val="ListBullet"/>
      </w:pPr>
      <w:r>
        <w:t>NEP 330 — Procédures d'audit mises en œuvre en réponse aux risques évalués</w:t>
      </w:r>
    </w:p>
    <w:p>
      <w:pPr>
        <w:pStyle w:val="ListBullet"/>
      </w:pPr>
      <w:r>
        <w:t>NEP 520 — Procédures analytiques</w:t>
      </w:r>
    </w:p>
    <w:p>
      <w:pPr>
        <w:pStyle w:val="ListBullet"/>
      </w:pPr>
      <w:r>
        <w:t>NEP 230 — Documentation des travaux</w:t>
      </w:r>
    </w:p>
    <w:p>
      <w:r>
        <w:br w:type="page"/>
      </w:r>
    </w:p>
    <w:p>
      <w:pPr>
        <w:pStyle w:val="Heading1"/>
      </w:pPr>
      <w:r>
        <w:rPr>
          <w:color w:val="4F46E5"/>
        </w:rPr>
        <w:t>2. Connaissance de l'entité (NEP 315)</w:t>
      </w:r>
    </w:p>
    <w:p/>
    <w:p>
      <w:pPr>
        <w:pStyle w:val="Heading2"/>
      </w:pPr>
      <w:r>
        <w:t>2.1 Identification et présentation générale</w:t>
      </w:r>
    </w:p>
    <w:p>
      <w:r>
        <w:rPr>
          <w:b/>
          <w:sz w:val="22"/>
        </w:rPr>
        <w:t xml:space="preserve">Forme juridique : </w:t>
      </w:r>
      <w:r>
        <w:rPr>
          <w:sz w:val="22"/>
        </w:rPr>
        <w:t>SA</w:t>
      </w:r>
      <w:r>
        <w:br/>
      </w:r>
      <w:r>
        <w:rPr>
          <w:b/>
          <w:sz w:val="22"/>
        </w:rPr>
        <w:t xml:space="preserve">Date de création : </w:t>
      </w:r>
      <w:r>
        <w:rPr>
          <w:sz w:val="22"/>
        </w:rPr>
        <w:t>2001-12-12</w:t>
      </w:r>
      <w:r>
        <w:br/>
      </w:r>
      <w:r>
        <w:rPr>
          <w:b/>
          <w:sz w:val="22"/>
        </w:rPr>
        <w:t xml:space="preserve">Effectif : </w:t>
      </w:r>
      <w:r>
        <w:rPr>
          <w:sz w:val="22"/>
        </w:rPr>
        <w:t>15</w:t>
      </w:r>
      <w:r>
        <w:br/>
      </w:r>
      <w:r>
        <w:rPr>
          <w:b/>
          <w:sz w:val="22"/>
        </w:rPr>
        <w:t xml:space="preserve">Système d'information : </w:t>
      </w:r>
      <w:r>
        <w:rPr>
          <w:sz w:val="22"/>
        </w:rPr>
        <w:t>ERP</w:t>
      </w:r>
      <w:r>
        <w:br/>
      </w:r>
    </w:p>
    <w:p>
      <w:pPr>
        <w:pStyle w:val="Heading2"/>
      </w:pPr>
      <w:r>
        <w:t>2.3 Gouvernance — Dirigeants</w:t>
      </w:r>
    </w:p>
    <w:p>
      <w:r>
        <w:rPr>
          <w:b w:val="0"/>
          <w:i/>
          <w:sz w:val="22"/>
        </w:rPr>
        <w:t>Aucun dirigeant renseigné.</w:t>
      </w:r>
    </w:p>
    <w:p>
      <w:pPr>
        <w:pStyle w:val="Heading2"/>
      </w:pPr>
      <w:r>
        <w:t>2.4 Facteurs de risque inhérent identifiés</w:t>
      </w:r>
    </w:p>
    <w:p>
      <w:r>
        <w:rPr>
          <w:b w:val="0"/>
          <w:i/>
          <w:sz w:val="22"/>
        </w:rPr>
        <w:t>Aucun facteur de risque inhérent spécifique identifié.</w:t>
      </w:r>
    </w:p>
    <w:p>
      <w:r>
        <w:br w:type="page"/>
      </w:r>
    </w:p>
    <w:p>
      <w:pPr>
        <w:pStyle w:val="Heading1"/>
      </w:pPr>
      <w:r>
        <w:rPr>
          <w:color w:val="4F46E5"/>
        </w:rPr>
        <w:t>3. Procédures analytiques préliminaires (NEP 520)</w:t>
      </w:r>
    </w:p>
    <w:p>
      <w:r>
        <w:rPr>
          <w:b w:val="0"/>
          <w:i w:val="0"/>
          <w:sz w:val="22"/>
        </w:rPr>
        <w:t>Les procédures analytiques préliminaires consistent à comparer les données financières de l'exercice N aux données de l'exercice N-1 afin d'identifier les variations significatives susceptibles de révéler un risque d'anomalie.</w:t>
      </w:r>
    </w:p>
    <w:p>
      <w:pPr>
        <w:pStyle w:val="Heading2"/>
      </w:pPr>
      <w:r>
        <w:t>3.1 Variations significatives identifiées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rPr>
                <w:b/>
              </w:rPr>
              <w:t>Compte</w:t>
            </w:r>
          </w:p>
        </w:tc>
        <w:tc>
          <w:tcPr>
            <w:tcW w:type="dxa" w:w="1881"/>
          </w:tcPr>
          <w:p>
            <w:r>
              <w:rPr>
                <w:b/>
              </w:rPr>
              <w:t>Libellé</w:t>
            </w:r>
          </w:p>
        </w:tc>
        <w:tc>
          <w:tcPr>
            <w:tcW w:type="dxa" w:w="1881"/>
          </w:tcPr>
          <w:p>
            <w:r>
              <w:rPr>
                <w:b/>
              </w:rPr>
              <w:t>Solde N</w:t>
            </w:r>
          </w:p>
        </w:tc>
        <w:tc>
          <w:tcPr>
            <w:tcW w:type="dxa" w:w="1881"/>
          </w:tcPr>
          <w:p>
            <w:r>
              <w:rPr>
                <w:b/>
              </w:rPr>
              <w:t>Solde N-1</w:t>
            </w:r>
          </w:p>
        </w:tc>
        <w:tc>
          <w:tcPr>
            <w:tcW w:type="dxa" w:w="1881"/>
          </w:tcPr>
          <w:p>
            <w:r>
              <w:rPr>
                <w:b/>
              </w:rPr>
              <w:t>Variation %</w:t>
            </w:r>
          </w:p>
        </w:tc>
      </w:tr>
      <w:tr>
        <w:tc>
          <w:tcPr>
            <w:tcW w:type="dxa" w:w="1881"/>
          </w:tcPr>
          <w:p>
            <w:r>
              <w:t>707</w:t>
            </w:r>
          </w:p>
        </w:tc>
        <w:tc>
          <w:tcPr>
            <w:tcW w:type="dxa" w:w="1881"/>
          </w:tcPr>
          <w:p>
            <w:r>
              <w:t>Ventes de marchandises</w:t>
            </w:r>
          </w:p>
        </w:tc>
        <w:tc>
          <w:tcPr>
            <w:tcW w:type="dxa" w:w="1881"/>
          </w:tcPr>
          <w:p>
            <w:r>
              <w:t>-412,000,000 FDJ</w:t>
            </w:r>
          </w:p>
        </w:tc>
        <w:tc>
          <w:tcPr>
            <w:tcW w:type="dxa" w:w="1881"/>
          </w:tcPr>
          <w:p>
            <w:r>
              <w:t>0 FDJ</w:t>
            </w:r>
          </w:p>
        </w:tc>
        <w:tc>
          <w:tcPr>
            <w:tcW w:type="dxa" w:w="1881"/>
          </w:tcPr>
          <w:p>
            <w:r>
              <w:t>+100.0 %</w:t>
            </w:r>
          </w:p>
        </w:tc>
      </w:tr>
      <w:tr>
        <w:tc>
          <w:tcPr>
            <w:tcW w:type="dxa" w:w="1881"/>
          </w:tcPr>
          <w:p>
            <w:r>
              <w:t>607</w:t>
            </w:r>
          </w:p>
        </w:tc>
        <w:tc>
          <w:tcPr>
            <w:tcW w:type="dxa" w:w="1881"/>
          </w:tcPr>
          <w:p>
            <w:r>
              <w:t>Achats de marchandises</w:t>
            </w:r>
          </w:p>
        </w:tc>
        <w:tc>
          <w:tcPr>
            <w:tcW w:type="dxa" w:w="1881"/>
          </w:tcPr>
          <w:p>
            <w:r>
              <w:t>300,000,000 FDJ</w:t>
            </w:r>
          </w:p>
        </w:tc>
        <w:tc>
          <w:tcPr>
            <w:tcW w:type="dxa" w:w="1881"/>
          </w:tcPr>
          <w:p>
            <w:r>
              <w:t>0 FDJ</w:t>
            </w:r>
          </w:p>
        </w:tc>
        <w:tc>
          <w:tcPr>
            <w:tcW w:type="dxa" w:w="1881"/>
          </w:tcPr>
          <w:p>
            <w:r>
              <w:t>+100.0 %</w:t>
            </w:r>
          </w:p>
        </w:tc>
      </w:tr>
      <w:tr>
        <w:tc>
          <w:tcPr>
            <w:tcW w:type="dxa" w:w="1881"/>
          </w:tcPr>
          <w:p>
            <w:r>
              <w:t>37</w:t>
            </w:r>
          </w:p>
        </w:tc>
        <w:tc>
          <w:tcPr>
            <w:tcW w:type="dxa" w:w="1881"/>
          </w:tcPr>
          <w:p>
            <w:r>
              <w:t>Stocks de marchandises</w:t>
            </w:r>
          </w:p>
        </w:tc>
        <w:tc>
          <w:tcPr>
            <w:tcW w:type="dxa" w:w="1881"/>
          </w:tcPr>
          <w:p>
            <w:r>
              <w:t>62,000,000 FDJ</w:t>
            </w:r>
          </w:p>
        </w:tc>
        <w:tc>
          <w:tcPr>
            <w:tcW w:type="dxa" w:w="1881"/>
          </w:tcPr>
          <w:p>
            <w:r>
              <w:t>0 FDJ</w:t>
            </w:r>
          </w:p>
        </w:tc>
        <w:tc>
          <w:tcPr>
            <w:tcW w:type="dxa" w:w="1881"/>
          </w:tcPr>
          <w:p>
            <w:r>
              <w:t>+100.0 %</w:t>
            </w:r>
          </w:p>
        </w:tc>
      </w:tr>
      <w:tr>
        <w:tc>
          <w:tcPr>
            <w:tcW w:type="dxa" w:w="1881"/>
          </w:tcPr>
          <w:p>
            <w:r>
              <w:t>411</w:t>
            </w:r>
          </w:p>
        </w:tc>
        <w:tc>
          <w:tcPr>
            <w:tcW w:type="dxa" w:w="1881"/>
          </w:tcPr>
          <w:p>
            <w:r>
              <w:t>Clients</w:t>
            </w:r>
          </w:p>
        </w:tc>
        <w:tc>
          <w:tcPr>
            <w:tcW w:type="dxa" w:w="1881"/>
          </w:tcPr>
          <w:p>
            <w:r>
              <w:t>58,000,000 FDJ</w:t>
            </w:r>
          </w:p>
        </w:tc>
        <w:tc>
          <w:tcPr>
            <w:tcW w:type="dxa" w:w="1881"/>
          </w:tcPr>
          <w:p>
            <w:r>
              <w:t>0 FDJ</w:t>
            </w:r>
          </w:p>
        </w:tc>
        <w:tc>
          <w:tcPr>
            <w:tcW w:type="dxa" w:w="1881"/>
          </w:tcPr>
          <w:p>
            <w:r>
              <w:t>+100.0 %</w:t>
            </w:r>
          </w:p>
        </w:tc>
      </w:tr>
      <w:tr>
        <w:tc>
          <w:tcPr>
            <w:tcW w:type="dxa" w:w="1881"/>
          </w:tcPr>
          <w:p>
            <w:r>
              <w:t>401</w:t>
            </w:r>
          </w:p>
        </w:tc>
        <w:tc>
          <w:tcPr>
            <w:tcW w:type="dxa" w:w="1881"/>
          </w:tcPr>
          <w:p>
            <w:r>
              <w:t>Fournisseurs</w:t>
            </w:r>
          </w:p>
        </w:tc>
        <w:tc>
          <w:tcPr>
            <w:tcW w:type="dxa" w:w="1881"/>
          </w:tcPr>
          <w:p>
            <w:r>
              <w:t>-48,000,000 FDJ</w:t>
            </w:r>
          </w:p>
        </w:tc>
        <w:tc>
          <w:tcPr>
            <w:tcW w:type="dxa" w:w="1881"/>
          </w:tcPr>
          <w:p>
            <w:r>
              <w:t>0 FDJ</w:t>
            </w:r>
          </w:p>
        </w:tc>
        <w:tc>
          <w:tcPr>
            <w:tcW w:type="dxa" w:w="1881"/>
          </w:tcPr>
          <w:p>
            <w:r>
              <w:t>+100.0 %</w:t>
            </w:r>
          </w:p>
        </w:tc>
      </w:tr>
      <w:tr>
        <w:tc>
          <w:tcPr>
            <w:tcW w:type="dxa" w:w="1881"/>
          </w:tcPr>
          <w:p>
            <w:r>
              <w:t>61/62</w:t>
            </w:r>
          </w:p>
        </w:tc>
        <w:tc>
          <w:tcPr>
            <w:tcW w:type="dxa" w:w="1881"/>
          </w:tcPr>
          <w:p>
            <w:r>
              <w:t>Autres charges externes</w:t>
            </w:r>
          </w:p>
        </w:tc>
        <w:tc>
          <w:tcPr>
            <w:tcW w:type="dxa" w:w="1881"/>
          </w:tcPr>
          <w:p>
            <w:r>
              <w:t>45,000,000 FDJ</w:t>
            </w:r>
          </w:p>
        </w:tc>
        <w:tc>
          <w:tcPr>
            <w:tcW w:type="dxa" w:w="1881"/>
          </w:tcPr>
          <w:p>
            <w:r>
              <w:t>0 FDJ</w:t>
            </w:r>
          </w:p>
        </w:tc>
        <w:tc>
          <w:tcPr>
            <w:tcW w:type="dxa" w:w="1881"/>
          </w:tcPr>
          <w:p>
            <w:r>
              <w:t>+100.0 %</w:t>
            </w:r>
          </w:p>
        </w:tc>
      </w:tr>
      <w:tr>
        <w:tc>
          <w:tcPr>
            <w:tcW w:type="dxa" w:w="1881"/>
          </w:tcPr>
          <w:p>
            <w:r>
              <w:t>64</w:t>
            </w:r>
          </w:p>
        </w:tc>
        <w:tc>
          <w:tcPr>
            <w:tcW w:type="dxa" w:w="1881"/>
          </w:tcPr>
          <w:p>
            <w:r>
              <w:t>Charges de personnel</w:t>
            </w:r>
          </w:p>
        </w:tc>
        <w:tc>
          <w:tcPr>
            <w:tcW w:type="dxa" w:w="1881"/>
          </w:tcPr>
          <w:p>
            <w:r>
              <w:t>38,000,000 FDJ</w:t>
            </w:r>
          </w:p>
        </w:tc>
        <w:tc>
          <w:tcPr>
            <w:tcW w:type="dxa" w:w="1881"/>
          </w:tcPr>
          <w:p>
            <w:r>
              <w:t>0 FDJ</w:t>
            </w:r>
          </w:p>
        </w:tc>
        <w:tc>
          <w:tcPr>
            <w:tcW w:type="dxa" w:w="1881"/>
          </w:tcPr>
          <w:p>
            <w:r>
              <w:t>+100.0 %</w:t>
            </w:r>
          </w:p>
        </w:tc>
      </w:tr>
      <w:tr>
        <w:tc>
          <w:tcPr>
            <w:tcW w:type="dxa" w:w="1881"/>
          </w:tcPr>
          <w:p>
            <w:r>
              <w:t>164</w:t>
            </w:r>
          </w:p>
        </w:tc>
        <w:tc>
          <w:tcPr>
            <w:tcW w:type="dxa" w:w="1881"/>
          </w:tcPr>
          <w:p>
            <w:r>
              <w:t>Emprunts auprès des établissements de crédit</w:t>
            </w:r>
          </w:p>
        </w:tc>
        <w:tc>
          <w:tcPr>
            <w:tcW w:type="dxa" w:w="1881"/>
          </w:tcPr>
          <w:p>
            <w:r>
              <w:t>-35,000,000 FDJ</w:t>
            </w:r>
          </w:p>
        </w:tc>
        <w:tc>
          <w:tcPr>
            <w:tcW w:type="dxa" w:w="1881"/>
          </w:tcPr>
          <w:p>
            <w:r>
              <w:t>0 FDJ</w:t>
            </w:r>
          </w:p>
        </w:tc>
        <w:tc>
          <w:tcPr>
            <w:tcW w:type="dxa" w:w="1881"/>
          </w:tcPr>
          <w:p>
            <w:r>
              <w:t>+100.0 %</w:t>
            </w:r>
          </w:p>
        </w:tc>
      </w:tr>
      <w:tr>
        <w:tc>
          <w:tcPr>
            <w:tcW w:type="dxa" w:w="1881"/>
          </w:tcPr>
          <w:p>
            <w:r>
              <w:t>101</w:t>
            </w:r>
          </w:p>
        </w:tc>
        <w:tc>
          <w:tcPr>
            <w:tcW w:type="dxa" w:w="1881"/>
          </w:tcPr>
          <w:p>
            <w:r>
              <w:t>Capital social</w:t>
            </w:r>
          </w:p>
        </w:tc>
        <w:tc>
          <w:tcPr>
            <w:tcW w:type="dxa" w:w="1881"/>
          </w:tcPr>
          <w:p>
            <w:r>
              <w:t>-30,000,000 FDJ</w:t>
            </w:r>
          </w:p>
        </w:tc>
        <w:tc>
          <w:tcPr>
            <w:tcW w:type="dxa" w:w="1881"/>
          </w:tcPr>
          <w:p>
            <w:r>
              <w:t>0 FDJ</w:t>
            </w:r>
          </w:p>
        </w:tc>
        <w:tc>
          <w:tcPr>
            <w:tcW w:type="dxa" w:w="1881"/>
          </w:tcPr>
          <w:p>
            <w:r>
              <w:t>+100.0 %</w:t>
            </w:r>
          </w:p>
        </w:tc>
      </w:tr>
      <w:tr>
        <w:tc>
          <w:tcPr>
            <w:tcW w:type="dxa" w:w="1881"/>
          </w:tcPr>
          <w:p>
            <w:r>
              <w:t>215</w:t>
            </w:r>
          </w:p>
        </w:tc>
        <w:tc>
          <w:tcPr>
            <w:tcW w:type="dxa" w:w="1881"/>
          </w:tcPr>
          <w:p>
            <w:r>
              <w:t>Installations techniques, matériel et outillage</w:t>
            </w:r>
          </w:p>
        </w:tc>
        <w:tc>
          <w:tcPr>
            <w:tcW w:type="dxa" w:w="1881"/>
          </w:tcPr>
          <w:p>
            <w:r>
              <w:t>25,000,000 FDJ</w:t>
            </w:r>
          </w:p>
        </w:tc>
        <w:tc>
          <w:tcPr>
            <w:tcW w:type="dxa" w:w="1881"/>
          </w:tcPr>
          <w:p>
            <w:r>
              <w:t>0 FDJ</w:t>
            </w:r>
          </w:p>
        </w:tc>
        <w:tc>
          <w:tcPr>
            <w:tcW w:type="dxa" w:w="1881"/>
          </w:tcPr>
          <w:p>
            <w:r>
              <w:t>+100.0 %</w:t>
            </w:r>
          </w:p>
        </w:tc>
      </w:tr>
      <w:tr>
        <w:tc>
          <w:tcPr>
            <w:tcW w:type="dxa" w:w="1881"/>
          </w:tcPr>
          <w:p>
            <w:r>
              <w:t>512</w:t>
            </w:r>
          </w:p>
        </w:tc>
        <w:tc>
          <w:tcPr>
            <w:tcW w:type="dxa" w:w="1881"/>
          </w:tcPr>
          <w:p>
            <w:r>
              <w:t>Banque</w:t>
            </w:r>
          </w:p>
        </w:tc>
        <w:tc>
          <w:tcPr>
            <w:tcW w:type="dxa" w:w="1881"/>
          </w:tcPr>
          <w:p>
            <w:r>
              <w:t>21,000,000 FDJ</w:t>
            </w:r>
          </w:p>
        </w:tc>
        <w:tc>
          <w:tcPr>
            <w:tcW w:type="dxa" w:w="1881"/>
          </w:tcPr>
          <w:p>
            <w:r>
              <w:t>0 FDJ</w:t>
            </w:r>
          </w:p>
        </w:tc>
        <w:tc>
          <w:tcPr>
            <w:tcW w:type="dxa" w:w="1881"/>
          </w:tcPr>
          <w:p>
            <w:r>
              <w:t>+100.0 %</w:t>
            </w:r>
          </w:p>
        </w:tc>
      </w:tr>
      <w:tr>
        <w:tc>
          <w:tcPr>
            <w:tcW w:type="dxa" w:w="1881"/>
          </w:tcPr>
          <w:p>
            <w:r>
              <w:t>106</w:t>
            </w:r>
          </w:p>
        </w:tc>
        <w:tc>
          <w:tcPr>
            <w:tcW w:type="dxa" w:w="1881"/>
          </w:tcPr>
          <w:p>
            <w:r>
              <w:t>Réserves</w:t>
            </w:r>
          </w:p>
        </w:tc>
        <w:tc>
          <w:tcPr>
            <w:tcW w:type="dxa" w:w="1881"/>
          </w:tcPr>
          <w:p>
            <w:r>
              <w:t>-20,000,000 FDJ</w:t>
            </w:r>
          </w:p>
        </w:tc>
        <w:tc>
          <w:tcPr>
            <w:tcW w:type="dxa" w:w="1881"/>
          </w:tcPr>
          <w:p>
            <w:r>
              <w:t>0 FDJ</w:t>
            </w:r>
          </w:p>
        </w:tc>
        <w:tc>
          <w:tcPr>
            <w:tcW w:type="dxa" w:w="1881"/>
          </w:tcPr>
          <w:p>
            <w:r>
              <w:t>+100.0 %</w:t>
            </w:r>
          </w:p>
        </w:tc>
      </w:tr>
      <w:tr>
        <w:tc>
          <w:tcPr>
            <w:tcW w:type="dxa" w:w="1881"/>
          </w:tcPr>
          <w:p>
            <w:r>
              <w:t>218</w:t>
            </w:r>
          </w:p>
        </w:tc>
        <w:tc>
          <w:tcPr>
            <w:tcW w:type="dxa" w:w="1881"/>
          </w:tcPr>
          <w:p>
            <w:r>
              <w:t>Autres immobilisations corporelles (mobilier, véhicules)</w:t>
            </w:r>
          </w:p>
        </w:tc>
        <w:tc>
          <w:tcPr>
            <w:tcW w:type="dxa" w:w="1881"/>
          </w:tcPr>
          <w:p>
            <w:r>
              <w:t>20,000,000 FDJ</w:t>
            </w:r>
          </w:p>
        </w:tc>
        <w:tc>
          <w:tcPr>
            <w:tcW w:type="dxa" w:w="1881"/>
          </w:tcPr>
          <w:p>
            <w:r>
              <w:t>0 FDJ</w:t>
            </w:r>
          </w:p>
        </w:tc>
        <w:tc>
          <w:tcPr>
            <w:tcW w:type="dxa" w:w="1881"/>
          </w:tcPr>
          <w:p>
            <w:r>
              <w:t>+100.0 %</w:t>
            </w:r>
          </w:p>
        </w:tc>
      </w:tr>
      <w:tr>
        <w:tc>
          <w:tcPr>
            <w:tcW w:type="dxa" w:w="1881"/>
          </w:tcPr>
          <w:p>
            <w:r>
              <w:t>281</w:t>
            </w:r>
          </w:p>
        </w:tc>
        <w:tc>
          <w:tcPr>
            <w:tcW w:type="dxa" w:w="1881"/>
          </w:tcPr>
          <w:p>
            <w:r>
              <w:t>Amortissements des immobilisations corporelles</w:t>
            </w:r>
          </w:p>
        </w:tc>
        <w:tc>
          <w:tcPr>
            <w:tcW w:type="dxa" w:w="1881"/>
          </w:tcPr>
          <w:p>
            <w:r>
              <w:t>-18,000,000 FDJ</w:t>
            </w:r>
          </w:p>
        </w:tc>
        <w:tc>
          <w:tcPr>
            <w:tcW w:type="dxa" w:w="1881"/>
          </w:tcPr>
          <w:p>
            <w:r>
              <w:t>0 FDJ</w:t>
            </w:r>
          </w:p>
        </w:tc>
        <w:tc>
          <w:tcPr>
            <w:tcW w:type="dxa" w:w="1881"/>
          </w:tcPr>
          <w:p>
            <w:r>
              <w:t>+100.0 %</w:t>
            </w:r>
          </w:p>
        </w:tc>
      </w:tr>
      <w:tr>
        <w:tc>
          <w:tcPr>
            <w:tcW w:type="dxa" w:w="1881"/>
          </w:tcPr>
          <w:p>
            <w:r>
              <w:t>42/43</w:t>
            </w:r>
          </w:p>
        </w:tc>
        <w:tc>
          <w:tcPr>
            <w:tcW w:type="dxa" w:w="1881"/>
          </w:tcPr>
          <w:p>
            <w:r>
              <w:t>Personnel et organismes sociaux (dettes)</w:t>
            </w:r>
          </w:p>
        </w:tc>
        <w:tc>
          <w:tcPr>
            <w:tcW w:type="dxa" w:w="1881"/>
          </w:tcPr>
          <w:p>
            <w:r>
              <w:t>-7,000,000 FDJ</w:t>
            </w:r>
          </w:p>
        </w:tc>
        <w:tc>
          <w:tcPr>
            <w:tcW w:type="dxa" w:w="1881"/>
          </w:tcPr>
          <w:p>
            <w:r>
              <w:t>0 FDJ</w:t>
            </w:r>
          </w:p>
        </w:tc>
        <w:tc>
          <w:tcPr>
            <w:tcW w:type="dxa" w:w="1881"/>
          </w:tcPr>
          <w:p>
            <w:r>
              <w:t>+100.0 %</w:t>
            </w:r>
          </w:p>
        </w:tc>
      </w:tr>
      <w:tr>
        <w:tc>
          <w:tcPr>
            <w:tcW w:type="dxa" w:w="1881"/>
          </w:tcPr>
          <w:p>
            <w:r>
              <w:t>6037</w:t>
            </w:r>
          </w:p>
        </w:tc>
        <w:tc>
          <w:tcPr>
            <w:tcW w:type="dxa" w:w="1881"/>
          </w:tcPr>
          <w:p>
            <w:r>
              <w:t>Variation des stocks de marchandises</w:t>
            </w:r>
          </w:p>
        </w:tc>
        <w:tc>
          <w:tcPr>
            <w:tcW w:type="dxa" w:w="1881"/>
          </w:tcPr>
          <w:p>
            <w:r>
              <w:t>-7,000,000 FDJ</w:t>
            </w:r>
          </w:p>
        </w:tc>
        <w:tc>
          <w:tcPr>
            <w:tcW w:type="dxa" w:w="1881"/>
          </w:tcPr>
          <w:p>
            <w:r>
              <w:t>0 FDJ</w:t>
            </w:r>
          </w:p>
        </w:tc>
        <w:tc>
          <w:tcPr>
            <w:tcW w:type="dxa" w:w="1881"/>
          </w:tcPr>
          <w:p>
            <w:r>
              <w:t>+100.0 %</w:t>
            </w:r>
          </w:p>
        </w:tc>
      </w:tr>
      <w:tr>
        <w:tc>
          <w:tcPr>
            <w:tcW w:type="dxa" w:w="1881"/>
          </w:tcPr>
          <w:p>
            <w:r>
              <w:t>681</w:t>
            </w:r>
          </w:p>
        </w:tc>
        <w:tc>
          <w:tcPr>
            <w:tcW w:type="dxa" w:w="1881"/>
          </w:tcPr>
          <w:p>
            <w:r>
              <w:t>Dotations aux amortissements</w:t>
            </w:r>
          </w:p>
        </w:tc>
        <w:tc>
          <w:tcPr>
            <w:tcW w:type="dxa" w:w="1881"/>
          </w:tcPr>
          <w:p>
            <w:r>
              <w:t>6,000,000 FDJ</w:t>
            </w:r>
          </w:p>
        </w:tc>
        <w:tc>
          <w:tcPr>
            <w:tcW w:type="dxa" w:w="1881"/>
          </w:tcPr>
          <w:p>
            <w:r>
              <w:t>0 FDJ</w:t>
            </w:r>
          </w:p>
        </w:tc>
        <w:tc>
          <w:tcPr>
            <w:tcW w:type="dxa" w:w="1881"/>
          </w:tcPr>
          <w:p>
            <w:r>
              <w:t>+100.0 %</w:t>
            </w:r>
          </w:p>
        </w:tc>
      </w:tr>
      <w:tr>
        <w:tc>
          <w:tcPr>
            <w:tcW w:type="dxa" w:w="1881"/>
          </w:tcPr>
          <w:p>
            <w:r>
              <w:t>444</w:t>
            </w:r>
          </w:p>
        </w:tc>
        <w:tc>
          <w:tcPr>
            <w:tcW w:type="dxa" w:w="1881"/>
          </w:tcPr>
          <w:p>
            <w:r>
              <w:t>État — impôts et taxes (dettes)</w:t>
            </w:r>
          </w:p>
        </w:tc>
        <w:tc>
          <w:tcPr>
            <w:tcW w:type="dxa" w:w="1881"/>
          </w:tcPr>
          <w:p>
            <w:r>
              <w:t>-5,000,000 FDJ</w:t>
            </w:r>
          </w:p>
        </w:tc>
        <w:tc>
          <w:tcPr>
            <w:tcW w:type="dxa" w:w="1881"/>
          </w:tcPr>
          <w:p>
            <w:r>
              <w:t>0 FDJ</w:t>
            </w:r>
          </w:p>
        </w:tc>
        <w:tc>
          <w:tcPr>
            <w:tcW w:type="dxa" w:w="1881"/>
          </w:tcPr>
          <w:p>
            <w:r>
              <w:t>+100.0 %</w:t>
            </w:r>
          </w:p>
        </w:tc>
      </w:tr>
      <w:tr>
        <w:tc>
          <w:tcPr>
            <w:tcW w:type="dxa" w:w="1881"/>
          </w:tcPr>
          <w:p>
            <w:r>
              <w:t>44566</w:t>
            </w:r>
          </w:p>
        </w:tc>
        <w:tc>
          <w:tcPr>
            <w:tcW w:type="dxa" w:w="1881"/>
          </w:tcPr>
          <w:p>
            <w:r>
              <w:t>TVA déductible et autres créances fiscales</w:t>
            </w:r>
          </w:p>
        </w:tc>
        <w:tc>
          <w:tcPr>
            <w:tcW w:type="dxa" w:w="1881"/>
          </w:tcPr>
          <w:p>
            <w:r>
              <w:t>4,000,000 FDJ</w:t>
            </w:r>
          </w:p>
        </w:tc>
        <w:tc>
          <w:tcPr>
            <w:tcW w:type="dxa" w:w="1881"/>
          </w:tcPr>
          <w:p>
            <w:r>
              <w:t>0 FDJ</w:t>
            </w:r>
          </w:p>
        </w:tc>
        <w:tc>
          <w:tcPr>
            <w:tcW w:type="dxa" w:w="1881"/>
          </w:tcPr>
          <w:p>
            <w:r>
              <w:t>+100.0 %</w:t>
            </w:r>
          </w:p>
        </w:tc>
      </w:tr>
      <w:tr>
        <w:tc>
          <w:tcPr>
            <w:tcW w:type="dxa" w:w="1881"/>
          </w:tcPr>
          <w:p>
            <w:r>
              <w:t>46</w:t>
            </w:r>
          </w:p>
        </w:tc>
        <w:tc>
          <w:tcPr>
            <w:tcW w:type="dxa" w:w="1881"/>
          </w:tcPr>
          <w:p>
            <w:r>
              <w:t>Autres dettes</w:t>
            </w:r>
          </w:p>
        </w:tc>
        <w:tc>
          <w:tcPr>
            <w:tcW w:type="dxa" w:w="1881"/>
          </w:tcPr>
          <w:p>
            <w:r>
              <w:t>-4,000,000 FDJ</w:t>
            </w:r>
          </w:p>
        </w:tc>
        <w:tc>
          <w:tcPr>
            <w:tcW w:type="dxa" w:w="1881"/>
          </w:tcPr>
          <w:p>
            <w:r>
              <w:t>0 FDJ</w:t>
            </w:r>
          </w:p>
        </w:tc>
        <w:tc>
          <w:tcPr>
            <w:tcW w:type="dxa" w:w="1881"/>
          </w:tcPr>
          <w:p>
            <w:r>
              <w:t>+100.0 %</w:t>
            </w:r>
          </w:p>
        </w:tc>
      </w:tr>
      <w:tr>
        <w:tc>
          <w:tcPr>
            <w:tcW w:type="dxa" w:w="1881"/>
          </w:tcPr>
          <w:p>
            <w:r>
              <w:t>63</w:t>
            </w:r>
          </w:p>
        </w:tc>
        <w:tc>
          <w:tcPr>
            <w:tcW w:type="dxa" w:w="1881"/>
          </w:tcPr>
          <w:p>
            <w:r>
              <w:t>Impôts, taxes et versements assimilés</w:t>
            </w:r>
          </w:p>
        </w:tc>
        <w:tc>
          <w:tcPr>
            <w:tcW w:type="dxa" w:w="1881"/>
          </w:tcPr>
          <w:p>
            <w:r>
              <w:t>3,000,000 FDJ</w:t>
            </w:r>
          </w:p>
        </w:tc>
        <w:tc>
          <w:tcPr>
            <w:tcW w:type="dxa" w:w="1881"/>
          </w:tcPr>
          <w:p>
            <w:r>
              <w:t>0 FDJ</w:t>
            </w:r>
          </w:p>
        </w:tc>
        <w:tc>
          <w:tcPr>
            <w:tcW w:type="dxa" w:w="1881"/>
          </w:tcPr>
          <w:p>
            <w:r>
              <w:t>+100.0 %</w:t>
            </w:r>
          </w:p>
        </w:tc>
      </w:tr>
      <w:tr>
        <w:tc>
          <w:tcPr>
            <w:tcW w:type="dxa" w:w="1881"/>
          </w:tcPr>
          <w:p>
            <w:r>
              <w:t>661</w:t>
            </w:r>
          </w:p>
        </w:tc>
        <w:tc>
          <w:tcPr>
            <w:tcW w:type="dxa" w:w="1881"/>
          </w:tcPr>
          <w:p>
            <w:r>
              <w:t>Charges d'intérêts</w:t>
            </w:r>
          </w:p>
        </w:tc>
        <w:tc>
          <w:tcPr>
            <w:tcW w:type="dxa" w:w="1881"/>
          </w:tcPr>
          <w:p>
            <w:r>
              <w:t>2,500,000 FDJ</w:t>
            </w:r>
          </w:p>
        </w:tc>
        <w:tc>
          <w:tcPr>
            <w:tcW w:type="dxa" w:w="1881"/>
          </w:tcPr>
          <w:p>
            <w:r>
              <w:t>0 FDJ</w:t>
            </w:r>
          </w:p>
        </w:tc>
        <w:tc>
          <w:tcPr>
            <w:tcW w:type="dxa" w:w="1881"/>
          </w:tcPr>
          <w:p>
            <w:r>
              <w:t>+100.0 %</w:t>
            </w:r>
          </w:p>
        </w:tc>
      </w:tr>
      <w:tr>
        <w:tc>
          <w:tcPr>
            <w:tcW w:type="dxa" w:w="1881"/>
          </w:tcPr>
          <w:p>
            <w:r>
              <w:t>491</w:t>
            </w:r>
          </w:p>
        </w:tc>
        <w:tc>
          <w:tcPr>
            <w:tcW w:type="dxa" w:w="1881"/>
          </w:tcPr>
          <w:p>
            <w:r>
              <w:t>Dépréciation des comptes clients</w:t>
            </w:r>
          </w:p>
        </w:tc>
        <w:tc>
          <w:tcPr>
            <w:tcW w:type="dxa" w:w="1881"/>
          </w:tcPr>
          <w:p>
            <w:r>
              <w:t>-2,000,000 FDJ</w:t>
            </w:r>
          </w:p>
        </w:tc>
        <w:tc>
          <w:tcPr>
            <w:tcW w:type="dxa" w:w="1881"/>
          </w:tcPr>
          <w:p>
            <w:r>
              <w:t>0 FDJ</w:t>
            </w:r>
          </w:p>
        </w:tc>
        <w:tc>
          <w:tcPr>
            <w:tcW w:type="dxa" w:w="1881"/>
          </w:tcPr>
          <w:p>
            <w:r>
              <w:t>+100.0 %</w:t>
            </w:r>
          </w:p>
        </w:tc>
      </w:tr>
      <w:tr>
        <w:tc>
          <w:tcPr>
            <w:tcW w:type="dxa" w:w="1881"/>
          </w:tcPr>
          <w:p>
            <w:r>
              <w:t>6817</w:t>
            </w:r>
          </w:p>
        </w:tc>
        <w:tc>
          <w:tcPr>
            <w:tcW w:type="dxa" w:w="1881"/>
          </w:tcPr>
          <w:p>
            <w:r>
              <w:t>Dotations aux dépréciations des actifs circulants</w:t>
            </w:r>
          </w:p>
        </w:tc>
        <w:tc>
          <w:tcPr>
            <w:tcW w:type="dxa" w:w="1881"/>
          </w:tcPr>
          <w:p>
            <w:r>
              <w:t>2,000,000 FDJ</w:t>
            </w:r>
          </w:p>
        </w:tc>
        <w:tc>
          <w:tcPr>
            <w:tcW w:type="dxa" w:w="1881"/>
          </w:tcPr>
          <w:p>
            <w:r>
              <w:t>0 FDJ</w:t>
            </w:r>
          </w:p>
        </w:tc>
        <w:tc>
          <w:tcPr>
            <w:tcW w:type="dxa" w:w="1881"/>
          </w:tcPr>
          <w:p>
            <w:r>
              <w:t>+100.0 %</w:t>
            </w:r>
          </w:p>
        </w:tc>
      </w:tr>
      <w:tr>
        <w:tc>
          <w:tcPr>
            <w:tcW w:type="dxa" w:w="1881"/>
          </w:tcPr>
          <w:p>
            <w:r>
              <w:t>53</w:t>
            </w:r>
          </w:p>
        </w:tc>
        <w:tc>
          <w:tcPr>
            <w:tcW w:type="dxa" w:w="1881"/>
          </w:tcPr>
          <w:p>
            <w:r>
              <w:t>Caisse</w:t>
            </w:r>
          </w:p>
        </w:tc>
        <w:tc>
          <w:tcPr>
            <w:tcW w:type="dxa" w:w="1881"/>
          </w:tcPr>
          <w:p>
            <w:r>
              <w:t>1,000,000 FDJ</w:t>
            </w:r>
          </w:p>
        </w:tc>
        <w:tc>
          <w:tcPr>
            <w:tcW w:type="dxa" w:w="1881"/>
          </w:tcPr>
          <w:p>
            <w:r>
              <w:t>0 FDJ</w:t>
            </w:r>
          </w:p>
        </w:tc>
        <w:tc>
          <w:tcPr>
            <w:tcW w:type="dxa" w:w="1881"/>
          </w:tcPr>
          <w:p>
            <w:r>
              <w:t>+100.0 %</w:t>
            </w:r>
          </w:p>
        </w:tc>
      </w:tr>
      <w:tr>
        <w:tc>
          <w:tcPr>
            <w:tcW w:type="dxa" w:w="1881"/>
          </w:tcPr>
          <w:p>
            <w:r>
              <w:t>69</w:t>
            </w:r>
          </w:p>
        </w:tc>
        <w:tc>
          <w:tcPr>
            <w:tcW w:type="dxa" w:w="1881"/>
          </w:tcPr>
          <w:p>
            <w:r>
              <w:t>Impôts sur les bénéfices</w:t>
            </w:r>
          </w:p>
        </w:tc>
        <w:tc>
          <w:tcPr>
            <w:tcW w:type="dxa" w:w="1881"/>
          </w:tcPr>
          <w:p>
            <w:r>
              <w:t>500,000 FDJ</w:t>
            </w:r>
          </w:p>
        </w:tc>
        <w:tc>
          <w:tcPr>
            <w:tcW w:type="dxa" w:w="1881"/>
          </w:tcPr>
          <w:p>
            <w:r>
              <w:t>0 FDJ</w:t>
            </w:r>
          </w:p>
        </w:tc>
        <w:tc>
          <w:tcPr>
            <w:tcW w:type="dxa" w:w="1881"/>
          </w:tcPr>
          <w:p>
            <w:r>
              <w:t>+100.0 %</w:t>
            </w:r>
          </w:p>
        </w:tc>
      </w:tr>
    </w:tbl>
    <w:p/>
    <w:p>
      <w:pPr>
        <w:pStyle w:val="Heading2"/>
      </w:pPr>
      <w:r>
        <w:t>3.2 Interprétation</w:t>
      </w:r>
    </w:p>
    <w:p>
      <w:r>
        <w:rPr>
          <w:b w:val="0"/>
          <w:i w:val="0"/>
          <w:sz w:val="22"/>
        </w:rPr>
        <w:t>L'analyse comparative N/N-1 de la balance générale de l'exercice 2026 révèle une situation atypique : l'intégralité des comptes présentent un solde N-1 nul, ce qui indique avec une forte probabilité que l'entité est en première année d'existence ou que l'exercice 2026 constitue le premier exercice complet enregistré dans le système comptable. Les mouvements observés traduisent la mise en place d'une structure commerciale complète, avec un cycle ventes/achats de marchandises pleinement opérationnel dès la première année (chiffre d'affaires de 412 M€, achats de 300 M€). La constitution du bilan est cohérente avec un démarrage d'activité : apport en capital (30 M€), recours à l'emprunt bancaire (35 M€), investissements en immobilisations corporelles (45 M€ bruts), et constitution d'un stock de marchandises (62 M€). Les charges de fonctionnement — personnel (38 M€), charges externes (45 M€), impôts et taxes (3 M€) — témoignent d'une organisation déjà dimensionnée pour supporter un volume d'activité significatif. L'absence de tout comparatif N-1 prive l'auditeur de tout repère historique et impose de concentrer les travaux sur la vérification de l'existence, de l'exhaustivité et de la valorisation des soldes d'ouverture et des transactions de l'exercice. La marge brute apparente (707 + 6037 vs 607, soit environ 119 M€ sur 412 M€ de CA, ~29 %) devra être confrontée aux références sectorielles dès que le secteur d'activité sera précisé.</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t>Cycle / Compte</w:t>
            </w:r>
          </w:p>
        </w:tc>
        <w:tc>
          <w:tcPr>
            <w:tcW w:type="dxa" w:w="3135"/>
          </w:tcPr>
          <w:p>
            <w:r>
              <w:rPr>
                <w:b/>
              </w:rPr>
              <w:t>Niveau</w:t>
            </w:r>
          </w:p>
        </w:tc>
        <w:tc>
          <w:tcPr>
            <w:tcW w:type="dxa" w:w="3135"/>
          </w:tcPr>
          <w:p>
            <w:r>
              <w:rPr>
                <w:b/>
              </w:rPr>
              <w:t>Explication</w:t>
            </w:r>
          </w:p>
        </w:tc>
      </w:tr>
      <w:tr>
        <w:tc>
          <w:tcPr>
            <w:tcW w:type="dxa" w:w="3135"/>
          </w:tcPr>
          <w:p>
            <w:r>
              <w:t>Reconnaissance du chiffre d'affaires — compte 707</w:t>
            </w:r>
          </w:p>
        </w:tc>
        <w:tc>
          <w:tcPr>
            <w:tcW w:type="dxa" w:w="3135"/>
          </w:tcPr>
          <w:p>
            <w:r>
              <w:t>eleve</w:t>
            </w:r>
          </w:p>
        </w:tc>
        <w:tc>
          <w:tcPr>
            <w:tcW w:type="dxa" w:w="3135"/>
          </w:tcPr>
          <w:p>
            <w:r>
              <w:t>Un chiffre d'affaires de 412 M€ généré dès la première année d'activité constitue un risque élevé sur l'assertion d'occurrence et de cut-off. L'absence de comparatif rend impossible toute validation analytique par tendance. Des tests substantiels étendus sur la réalité des ventes, la période de rattachement et les conditions contractuelles de transfert de propriété sont indispensables.</w:t>
            </w:r>
          </w:p>
        </w:tc>
      </w:tr>
      <w:tr>
        <w:tc>
          <w:tcPr>
            <w:tcW w:type="dxa" w:w="3135"/>
          </w:tcPr>
          <w:p>
            <w:r>
              <w:t>Valorisation et exhaustivité des achats de marchandises — comptes 607 / 37 / 6037</w:t>
            </w:r>
          </w:p>
        </w:tc>
        <w:tc>
          <w:tcPr>
            <w:tcW w:type="dxa" w:w="3135"/>
          </w:tcPr>
          <w:p>
            <w:r>
              <w:t>eleve</w:t>
            </w:r>
          </w:p>
        </w:tc>
        <w:tc>
          <w:tcPr>
            <w:tcW w:type="dxa" w:w="3135"/>
          </w:tcPr>
          <w:p>
            <w:r>
              <w:t>Les achats (300 M€), le stock final (62 M€) et la variation de stock (-7 M€) doivent être réconciliés avec cohérence : le stock initial étant nul, la variation de stock créditrice de 7 M€ implique une sortie nette supérieure aux entrées, ce qui mérite vérification. La valorisation du stock (méthode FIFO, CMUP), la réalité physique des marchandises et l'exhaustivité des dettes fournisseurs (48 M€ vs 300 M€ d'achats) constituent des points d'attention majeurs.</w:t>
            </w:r>
          </w:p>
        </w:tc>
      </w:tr>
      <w:tr>
        <w:tc>
          <w:tcPr>
            <w:tcW w:type="dxa" w:w="3135"/>
          </w:tcPr>
          <w:p>
            <w:r>
              <w:t>Soldes d'ouverture — premier exercice ou reprise de balance</w:t>
            </w:r>
          </w:p>
        </w:tc>
        <w:tc>
          <w:tcPr>
            <w:tcW w:type="dxa" w:w="3135"/>
          </w:tcPr>
          <w:p>
            <w:r>
              <w:t>eleve</w:t>
            </w:r>
          </w:p>
        </w:tc>
        <w:tc>
          <w:tcPr>
            <w:tcW w:type="dxa" w:w="3135"/>
          </w:tcPr>
          <w:p>
            <w:r>
              <w:t>L'absence totale de soldes N-1 impose de valider la nature de l'événement à l'origine de cette situation : création ex nihilo, apport partiel d'actif, fusion, ou simple absence de reprise comptable. Les assertions d'existence et d'exactitude des soldes d'ouverture (capital, emprunts, immobilisations) doivent être auditées en priorité, car toute erreur d'initialisation se propage sur l'ensemble du bilan.</w:t>
            </w:r>
          </w:p>
        </w:tc>
      </w:tr>
      <w:tr>
        <w:tc>
          <w:tcPr>
            <w:tcW w:type="dxa" w:w="3135"/>
          </w:tcPr>
          <w:p>
            <w:r>
              <w:t>Cohérence bilan / financement — capitaux propres et endettement</w:t>
            </w:r>
          </w:p>
        </w:tc>
        <w:tc>
          <w:tcPr>
            <w:tcW w:type="dxa" w:w="3135"/>
          </w:tcPr>
          <w:p>
            <w:r>
              <w:t>eleve</w:t>
            </w:r>
          </w:p>
        </w:tc>
        <w:tc>
          <w:tcPr>
            <w:tcW w:type="dxa" w:w="3135"/>
          </w:tcPr>
          <w:p>
            <w:r>
              <w:t>Le financement de l'actif repose sur 30 M€ de capital, 20 M€ de réserves (significatives dès la première année, ce qui est à justifier), et 35 M€ d'emprunts. La présence de réserves (compte 106, 20 M€) dès un premier exercice apparent est une incohérence potentielle qui doit être expliquée (apport en nature, fusion, reprise de résultats antérieurs). Les assertions de valorisation et de droits/obligations sur les capitaux propres requièrent une attention particulière.</w:t>
            </w:r>
          </w:p>
        </w:tc>
      </w:tr>
      <w:tr>
        <w:tc>
          <w:tcPr>
            <w:tcW w:type="dxa" w:w="3135"/>
          </w:tcPr>
          <w:p>
            <w:r>
              <w:t>Dépréciation des actifs — comptes 491 / 6817</w:t>
            </w:r>
          </w:p>
        </w:tc>
        <w:tc>
          <w:tcPr>
            <w:tcW w:type="dxa" w:w="3135"/>
          </w:tcPr>
          <w:p>
            <w:r>
              <w:t>moyen</w:t>
            </w:r>
          </w:p>
        </w:tc>
        <w:tc>
          <w:tcPr>
            <w:tcW w:type="dxa" w:w="3135"/>
          </w:tcPr>
          <w:p>
            <w:r>
              <w:t>La constitution dès la première année d'une dépréciation des créances clients (2 M€, soit ~3,4 % du solde clients de 58 M€) et d'une dotation aux dépréciations des actifs circulants (2 M€) suppose l'existence d'un processus d'identification du risque de recouvrement. L'auditeur devra s'assurer que ces dépréciations sont fondées sur des éléments probants (litiges, retards de paiement identifiés) et non sur une approche forfaitaire non justifiée.</w:t>
            </w:r>
          </w:p>
        </w:tc>
      </w:tr>
      <w:tr>
        <w:tc>
          <w:tcPr>
            <w:tcW w:type="dxa" w:w="3135"/>
          </w:tcPr>
          <w:p>
            <w:r>
              <w:t>Créances clients et risque de recouvrement — compte 411</w:t>
            </w:r>
          </w:p>
        </w:tc>
        <w:tc>
          <w:tcPr>
            <w:tcW w:type="dxa" w:w="3135"/>
          </w:tcPr>
          <w:p>
            <w:r>
              <w:t>moyen</w:t>
            </w:r>
          </w:p>
        </w:tc>
        <w:tc>
          <w:tcPr>
            <w:tcW w:type="dxa" w:w="3135"/>
          </w:tcPr>
          <w:p>
            <w:r>
              <w:t>Un solde clients de 58 M€ pour un CA de 412 M€ représente un délai de règlement d'environ 51 jours (base 365 jours), qui devra être comparé aux conditions contractuelles et aux usages du secteur. La circularisation des soldes significatifs et les procédures alternatives de confirmation des créances sont des diligences incontournables.</w:t>
            </w:r>
          </w:p>
        </w:tc>
      </w:tr>
      <w:tr>
        <w:tc>
          <w:tcPr>
            <w:tcW w:type="dxa" w:w="3135"/>
          </w:tcPr>
          <w:p>
            <w:r>
              <w:t>Impôt sur les bénéfices — compte 69</w:t>
            </w:r>
          </w:p>
        </w:tc>
        <w:tc>
          <w:tcPr>
            <w:tcW w:type="dxa" w:w="3135"/>
          </w:tcPr>
          <w:p>
            <w:r>
              <w:t>moyen</w:t>
            </w:r>
          </w:p>
        </w:tc>
        <w:tc>
          <w:tcPr>
            <w:tcW w:type="dxa" w:w="3135"/>
          </w:tcPr>
          <w:p>
            <w:r>
              <w:t>La charge d'IS de 0,5 M€ apparaît faible au regard d'un résultat apparent positif (CA moins charges). L'auditeur devra vérifier le calcul du résultat fiscal, l'application correcte du taux d'IS, les éventuels reports déficitaires ou crédits d'impôt, et s'assurer de l'absence d'impôt différé non comptabilisé.</w:t>
            </w:r>
          </w:p>
        </w:tc>
      </w:tr>
    </w:tbl>
    <w:p/>
    <w:p>
      <w:r>
        <w:rPr>
          <w:b w:val="0"/>
          <w:i w:val="0"/>
          <w:sz w:val="22"/>
        </w:rPr>
        <w:t>Facteurs contextuels : L'absence de données sectorielles et la nullité de l'ensemble des soldes N-1 rendent toute comparaison sectorielle ou temporelle impossible à ce stade. L'hypothèse la plus probable est celle d'une entité en première année d'activité ou d'une reprise d'activité sans historique comptable disponible, ce qui exclut tout facteur conjoncturel comme explication des variations — celles-ci reflètent simplement la constitution intégrale de la balance. Une fois le secteur d'activité précisé, il conviendra de benchmarker les ratios clés (marge brute, rotation des stocks, délais clients/fournisseurs) avec les références sectorielles disponibles afin de détecter d'éventuelles anomalies de valorisation.</w:t>
      </w:r>
    </w:p>
    <w:p>
      <w:pPr>
        <w:pStyle w:val="Heading2"/>
      </w:pPr>
      <w:r>
        <w:t>Points d'attention</w:t>
      </w:r>
    </w:p>
    <w:p>
      <w:pPr>
        <w:pStyle w:val="ListBullet"/>
      </w:pPr>
      <w:r>
        <w:t>ALERTE CRITIQUE — Présence de réserves (compte 106 : 20 M€) alors que tous les soldes N-1 sont nuls : des réserves ne peuvent exister lors d'un premier exercice sans apport préalable ou opération de restructuration (fusion, apport partiel d'actif). Cette situation doit impérativement être justifiée par des documents juridiques probants (acte de fusion, traité d'apport, procès-verbal d'assemblée) avant toute validation du bilan.</w:t>
      </w:r>
    </w:p>
    <w:p>
      <w:pPr>
        <w:pStyle w:val="ListBullet"/>
      </w:pPr>
      <w:r>
        <w:t>ALERTE FORTE — Incohérence potentielle sur la variation de stock (compte 6037 : -7 M€ créditeur) : un stock initial nul combiné à des achats de 300 M€ et un stock final de 62 M€ devrait produire une variation de stock créditrice de 62 M€ en résultat (coût des marchandises vendues = 300 - 62 = 238 M€). La valeur de 7 M€ enregistrée au compte 6037 suggère soit une erreur de comptabilisation, soit une méthode de calcul particulière à expliciter, et constitue un risque d'erreur significative sur le résultat.</w:t>
      </w:r>
    </w:p>
    <w:p>
      <w:pPr>
        <w:pStyle w:val="ListBullet"/>
      </w:pPr>
      <w:r>
        <w:t>ALERTE FORTE — Ratio dettes fournisseurs / achats : avec 48 M€ de dettes fournisseurs pour 300 M€ d'achats, le délai fournisseurs apparent est d'environ 58 jours. Ce ratio doit être confronté aux conditions d'achat réelles ; une sous-évaluation des dettes fournisseurs (factures non reçues, provisions insuffisantes) constituerait une erreur d'exhaustivité au passif.</w:t>
      </w:r>
    </w:p>
    <w:p>
      <w:pPr>
        <w:pStyle w:val="ListBullet"/>
      </w:pPr>
      <w:r>
        <w:t>ALERTE MODÉRÉE — Les dotations aux amortissements (compte 681 : 6 M€) rapportées à la base immobilisée brute (comptes 215 + 218 : 45 M€) donnent un taux d'amortissement global d'environ 13 %. Ce taux devra être vérifié au regard des durées d'utilisation réelles des actifs et des méthodes retenues (linéaire / dégressif), en particulier pour les installations techniques (215) susceptibles de faire l'objet d'amortissements par composants.</w:t>
      </w:r>
    </w:p>
    <w:p>
      <w:pPr>
        <w:pStyle w:val="ListBullet"/>
      </w:pPr>
      <w:r>
        <w:t>ALERTE MODÉRÉE — Absence d'information sur le seuil de signification de la mission : en l'absence de seuil formellement défini, les travaux substantiels ne peuvent être correctement calibrés. Il est recommandé de formaliser le seuil de signification global et le seuil de signification opérationnel avant l'émission de tout programme de travail définitif.</w:t>
      </w:r>
    </w:p>
    <w:p>
      <w:r>
        <w:br w:type="page"/>
      </w:r>
    </w:p>
    <w:p>
      <w:pPr>
        <w:pStyle w:val="Heading1"/>
      </w:pPr>
      <w:r>
        <w:rPr>
          <w:color w:val="4F46E5"/>
        </w:rPr>
        <w:t>4. Seuil de signification (NEP 320)</w:t>
      </w:r>
    </w:p>
    <w:p>
      <w:pPr>
        <w:pStyle w:val="Heading2"/>
      </w:pPr>
      <w:r>
        <w:t>4.1 Base de calcul et paramètres retenus</w:t>
      </w:r>
    </w:p>
    <w:p>
      <w:r>
        <w:rPr>
          <w:b/>
          <w:sz w:val="22"/>
        </w:rPr>
        <w:t xml:space="preserve">Agrégat retenu : </w:t>
      </w:r>
      <w:r>
        <w:rPr>
          <w:sz w:val="22"/>
        </w:rPr>
        <w:t>total_bilan</w:t>
      </w:r>
      <w:r>
        <w:br/>
      </w:r>
      <w:r>
        <w:rPr>
          <w:b/>
          <w:sz w:val="22"/>
        </w:rPr>
        <w:t xml:space="preserve">Valeur de l'agrégat : </w:t>
      </w:r>
      <w:r>
        <w:rPr>
          <w:sz w:val="22"/>
        </w:rPr>
        <w:t>588,000,000 FDJ</w:t>
      </w:r>
      <w:r>
        <w:br/>
      </w:r>
      <w:r>
        <w:rPr>
          <w:b/>
          <w:sz w:val="22"/>
        </w:rPr>
        <w:t xml:space="preserve">Taux de signification : </w:t>
      </w:r>
      <w:r>
        <w:rPr>
          <w:sz w:val="22"/>
        </w:rPr>
        <w:t>0.01 %</w:t>
      </w:r>
      <w:r>
        <w:br/>
      </w:r>
      <w:r>
        <w:rPr>
          <w:b/>
          <w:sz w:val="22"/>
        </w:rPr>
        <w:t xml:space="preserve">Taux de planification : </w:t>
      </w:r>
      <w:r>
        <w:rPr>
          <w:sz w:val="22"/>
        </w:rPr>
        <w:t>0.75 %</w:t>
      </w:r>
      <w:r>
        <w:br/>
      </w:r>
      <w:r>
        <w:rPr>
          <w:b/>
          <w:sz w:val="22"/>
        </w:rPr>
        <w:t xml:space="preserve">Seuil de signification : </w:t>
      </w:r>
      <w:r>
        <w:rPr>
          <w:sz w:val="22"/>
        </w:rPr>
        <w:t>5,880,000 FDJ</w:t>
      </w:r>
      <w:r>
        <w:br/>
      </w:r>
      <w:r>
        <w:rPr>
          <w:b/>
          <w:sz w:val="22"/>
        </w:rPr>
        <w:t xml:space="preserve">Seuil de planification : </w:t>
      </w:r>
      <w:r>
        <w:rPr>
          <w:sz w:val="22"/>
        </w:rPr>
        <w:t>4,410,000 FDJ</w:t>
      </w:r>
      <w:r>
        <w:br/>
      </w:r>
    </w:p>
    <w:p>
      <w:pPr>
        <w:pStyle w:val="Heading2"/>
      </w:pPr>
      <w:r>
        <w:t>4.2 Justification du seuil retenu</w:t>
      </w:r>
    </w:p>
    <w:p>
      <w:r>
        <w:rPr>
          <w:b w:val="0"/>
          <w:i w:val="0"/>
          <w:sz w:val="22"/>
        </w:rPr>
        <w:t>Le seuil de signification de 5,880,000 FDJ (0.01 % de total_bilan) est celui en deçà duquel une anomalie est considérée comme non significative et n'affecte pas l'opinion d'audit. Le seuil de planification de 4,410,000 FDJ (0.75 %) est appliqué pour les tests de détail afin de conserver une marge de sécurité permettant d'absorber les anomalies non détectées. Ces paramètres sont conformes aux pratiques professionnelles et aux exigences de la NEP 320.</w:t>
      </w:r>
    </w:p>
    <w:p>
      <w:r>
        <w:br w:type="page"/>
      </w:r>
    </w:p>
    <w:p>
      <w:pPr>
        <w:pStyle w:val="Heading1"/>
      </w:pPr>
      <w:r>
        <w:rPr>
          <w:color w:val="4F46E5"/>
        </w:rPr>
        <w:t>5. Cartographie des risques (NEP 315)</w:t>
      </w:r>
    </w:p>
    <w:p>
      <w:r>
        <w:rPr>
          <w:b w:val="0"/>
          <w:i w:val="0"/>
          <w:sz w:val="22"/>
        </w:rPr>
        <w:t>10 risque(s) identifié(s) et validé(s) pour cette mission.</w:t>
      </w:r>
    </w:p>
    <w:p>
      <w:r>
        <w:rPr>
          <w:b w:val="0"/>
          <w:i w:val="0"/>
          <w:sz w:val="22"/>
        </w:rPr>
        <w:t>Dont : 4 élevé(s), 6 moyen(s), 0 faible(s).</w:t>
      </w:r>
    </w:p>
    <w:p/>
    <w:p>
      <w:pPr>
        <w:pStyle w:val="Heading2"/>
      </w:pPr>
      <w:r>
        <w:t>Cycle : Tresorerie</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rPr>
                <w:b/>
              </w:rPr>
              <w:t>Libellé du risque</w:t>
            </w:r>
          </w:p>
        </w:tc>
        <w:tc>
          <w:tcPr>
            <w:tcW w:type="dxa" w:w="1881"/>
          </w:tcPr>
          <w:p>
            <w:r>
              <w:rPr>
                <w:b/>
              </w:rPr>
              <w:t>Niveau</w:t>
            </w:r>
          </w:p>
        </w:tc>
        <w:tc>
          <w:tcPr>
            <w:tcW w:type="dxa" w:w="1881"/>
          </w:tcPr>
          <w:p>
            <w:r>
              <w:rPr>
                <w:b/>
              </w:rPr>
              <w:t>Source</w:t>
            </w:r>
          </w:p>
        </w:tc>
        <w:tc>
          <w:tcPr>
            <w:tcW w:type="dxa" w:w="1881"/>
          </w:tcPr>
          <w:p>
            <w:r>
              <w:rPr>
                <w:b/>
              </w:rPr>
              <w:t>Assertions ISA</w:t>
            </w:r>
          </w:p>
        </w:tc>
        <w:tc>
          <w:tcPr>
            <w:tcW w:type="dxa" w:w="1881"/>
          </w:tcPr>
          <w:p>
            <w:r>
              <w:rPr>
                <w:b/>
              </w:rPr>
              <w:t>Commentaire</w:t>
            </w:r>
          </w:p>
        </w:tc>
      </w:tr>
      <w:tr>
        <w:tc>
          <w:tcPr>
            <w:tcW w:type="dxa" w:w="1881"/>
          </w:tcPr>
          <w:p>
            <w:r>
              <w:t>Existence et réalité des soldes de trésorerie</w:t>
            </w:r>
          </w:p>
        </w:tc>
        <w:tc>
          <w:tcPr>
            <w:tcW w:type="dxa" w:w="1881"/>
          </w:tcPr>
          <w:p>
            <w:r>
              <w:t>ÉLEVÉ</w:t>
            </w:r>
          </w:p>
        </w:tc>
        <w:tc>
          <w:tcPr>
            <w:tcW w:type="dxa" w:w="1881"/>
          </w:tcPr>
          <w:p>
            <w:r>
              <w:t>IA</w:t>
            </w:r>
          </w:p>
        </w:tc>
        <w:tc>
          <w:tcPr>
            <w:tcW w:type="dxa" w:w="1881"/>
          </w:tcPr>
          <w:p>
            <w:r>
              <w:t>existence, evaluation</w:t>
            </w:r>
          </w:p>
        </w:tc>
        <w:tc>
          <w:tcPr>
            <w:tcW w:type="dxa" w:w="1881"/>
          </w:tcPr>
          <w:p>
            <w:r/>
          </w:p>
        </w:tc>
      </w:tr>
      <w:tr>
        <w:tc>
          <w:tcPr>
            <w:tcW w:type="dxa" w:w="1881"/>
          </w:tcPr>
          <w:p>
            <w:r>
              <w:t>Exhaustivité des comptes bancaires et caisses ouverts</w:t>
            </w:r>
          </w:p>
        </w:tc>
        <w:tc>
          <w:tcPr>
            <w:tcW w:type="dxa" w:w="1881"/>
          </w:tcPr>
          <w:p>
            <w:r>
              <w:t>ÉLEVÉ</w:t>
            </w:r>
          </w:p>
        </w:tc>
        <w:tc>
          <w:tcPr>
            <w:tcW w:type="dxa" w:w="1881"/>
          </w:tcPr>
          <w:p>
            <w:r>
              <w:t>IA</w:t>
            </w:r>
          </w:p>
        </w:tc>
        <w:tc>
          <w:tcPr>
            <w:tcW w:type="dxa" w:w="1881"/>
          </w:tcPr>
          <w:p>
            <w:r>
              <w:t>exhaustivite, existence</w:t>
            </w:r>
          </w:p>
        </w:tc>
        <w:tc>
          <w:tcPr>
            <w:tcW w:type="dxa" w:w="1881"/>
          </w:tcPr>
          <w:p>
            <w:r/>
          </w:p>
        </w:tc>
      </w:tr>
      <w:tr>
        <w:tc>
          <w:tcPr>
            <w:tcW w:type="dxa" w:w="1881"/>
          </w:tcPr>
          <w:p>
            <w:r>
              <w:t>Rattachement des flux de trésorerie en cut-off de clôture</w:t>
            </w:r>
          </w:p>
        </w:tc>
        <w:tc>
          <w:tcPr>
            <w:tcW w:type="dxa" w:w="1881"/>
          </w:tcPr>
          <w:p>
            <w:r>
              <w:t>ÉLEVÉ</w:t>
            </w:r>
          </w:p>
        </w:tc>
        <w:tc>
          <w:tcPr>
            <w:tcW w:type="dxa" w:w="1881"/>
          </w:tcPr>
          <w:p>
            <w:r>
              <w:t>IA</w:t>
            </w:r>
          </w:p>
        </w:tc>
        <w:tc>
          <w:tcPr>
            <w:tcW w:type="dxa" w:w="1881"/>
          </w:tcPr>
          <w:p>
            <w:r>
              <w:t>cut_off, evaluation</w:t>
            </w:r>
          </w:p>
        </w:tc>
        <w:tc>
          <w:tcPr>
            <w:tcW w:type="dxa" w:w="1881"/>
          </w:tcPr>
          <w:p>
            <w:r/>
          </w:p>
        </w:tc>
      </w:tr>
      <w:tr>
        <w:tc>
          <w:tcPr>
            <w:tcW w:type="dxa" w:w="1881"/>
          </w:tcPr>
          <w:p>
            <w:r>
              <w:t>Droits sur les fonds — restrictions et nantissements</w:t>
            </w:r>
          </w:p>
        </w:tc>
        <w:tc>
          <w:tcPr>
            <w:tcW w:type="dxa" w:w="1881"/>
          </w:tcPr>
          <w:p>
            <w:r>
              <w:t>MOYEN</w:t>
            </w:r>
          </w:p>
        </w:tc>
        <w:tc>
          <w:tcPr>
            <w:tcW w:type="dxa" w:w="1881"/>
          </w:tcPr>
          <w:p>
            <w:r>
              <w:t>IA</w:t>
            </w:r>
          </w:p>
        </w:tc>
        <w:tc>
          <w:tcPr>
            <w:tcW w:type="dxa" w:w="1881"/>
          </w:tcPr>
          <w:p>
            <w:r>
              <w:t>droits, presentation</w:t>
            </w:r>
          </w:p>
        </w:tc>
        <w:tc>
          <w:tcPr>
            <w:tcW w:type="dxa" w:w="1881"/>
          </w:tcPr>
          <w:p>
            <w:r/>
          </w:p>
        </w:tc>
      </w:tr>
      <w:tr>
        <w:tc>
          <w:tcPr>
            <w:tcW w:type="dxa" w:w="1881"/>
          </w:tcPr>
          <w:p>
            <w:r>
              <w:t>Présentation et classement des découverts bancaires</w:t>
            </w:r>
          </w:p>
        </w:tc>
        <w:tc>
          <w:tcPr>
            <w:tcW w:type="dxa" w:w="1881"/>
          </w:tcPr>
          <w:p>
            <w:r>
              <w:t>MOYEN</w:t>
            </w:r>
          </w:p>
        </w:tc>
        <w:tc>
          <w:tcPr>
            <w:tcW w:type="dxa" w:w="1881"/>
          </w:tcPr>
          <w:p>
            <w:r>
              <w:t>IA</w:t>
            </w:r>
          </w:p>
        </w:tc>
        <w:tc>
          <w:tcPr>
            <w:tcW w:type="dxa" w:w="1881"/>
          </w:tcPr>
          <w:p>
            <w:r>
              <w:t>presentation, evaluation</w:t>
            </w:r>
          </w:p>
        </w:tc>
        <w:tc>
          <w:tcPr>
            <w:tcW w:type="dxa" w:w="1881"/>
          </w:tcPr>
          <w:p>
            <w:r/>
          </w:p>
        </w:tc>
      </w:tr>
      <w:tr>
        <w:tc>
          <w:tcPr>
            <w:tcW w:type="dxa" w:w="1881"/>
          </w:tcPr>
          <w:p>
            <w:r>
              <w:t>Cohérence trésorerie / encaissements clients — compte 411</w:t>
            </w:r>
          </w:p>
        </w:tc>
        <w:tc>
          <w:tcPr>
            <w:tcW w:type="dxa" w:w="1881"/>
          </w:tcPr>
          <w:p>
            <w:r>
              <w:t>MOYEN</w:t>
            </w:r>
          </w:p>
        </w:tc>
        <w:tc>
          <w:tcPr>
            <w:tcW w:type="dxa" w:w="1881"/>
          </w:tcPr>
          <w:p>
            <w:r>
              <w:t>IA</w:t>
            </w:r>
          </w:p>
        </w:tc>
        <w:tc>
          <w:tcPr>
            <w:tcW w:type="dxa" w:w="1881"/>
          </w:tcPr>
          <w:p>
            <w:r>
              <w:t>existence, cut_off</w:t>
            </w:r>
          </w:p>
        </w:tc>
        <w:tc>
          <w:tcPr>
            <w:tcW w:type="dxa" w:w="1881"/>
          </w:tcPr>
          <w:p>
            <w:r/>
          </w:p>
        </w:tc>
      </w:tr>
      <w:tr>
        <w:tc>
          <w:tcPr>
            <w:tcW w:type="dxa" w:w="1881"/>
          </w:tcPr>
          <w:p>
            <w:r>
              <w:t>Cohérence trésorerie / décaissements fournisseurs — compte 401</w:t>
            </w:r>
          </w:p>
        </w:tc>
        <w:tc>
          <w:tcPr>
            <w:tcW w:type="dxa" w:w="1881"/>
          </w:tcPr>
          <w:p>
            <w:r>
              <w:t>MOYEN</w:t>
            </w:r>
          </w:p>
        </w:tc>
        <w:tc>
          <w:tcPr>
            <w:tcW w:type="dxa" w:w="1881"/>
          </w:tcPr>
          <w:p>
            <w:r>
              <w:t>IA</w:t>
            </w:r>
          </w:p>
        </w:tc>
        <w:tc>
          <w:tcPr>
            <w:tcW w:type="dxa" w:w="1881"/>
          </w:tcPr>
          <w:p>
            <w:r>
              <w:t>exhaustivite, existence</w:t>
            </w:r>
          </w:p>
        </w:tc>
        <w:tc>
          <w:tcPr>
            <w:tcW w:type="dxa" w:w="1881"/>
          </w:tcPr>
          <w:p>
            <w:r/>
          </w:p>
        </w:tc>
      </w:tr>
      <w:tr>
        <w:tc>
          <w:tcPr>
            <w:tcW w:type="dxa" w:w="1881"/>
          </w:tcPr>
          <w:p>
            <w:r>
              <w:t>Évaluation des placements de trésorerie et instruments financiers</w:t>
            </w:r>
          </w:p>
        </w:tc>
        <w:tc>
          <w:tcPr>
            <w:tcW w:type="dxa" w:w="1881"/>
          </w:tcPr>
          <w:p>
            <w:r>
              <w:t>MOYEN</w:t>
            </w:r>
          </w:p>
        </w:tc>
        <w:tc>
          <w:tcPr>
            <w:tcW w:type="dxa" w:w="1881"/>
          </w:tcPr>
          <w:p>
            <w:r>
              <w:t>IA</w:t>
            </w:r>
          </w:p>
        </w:tc>
        <w:tc>
          <w:tcPr>
            <w:tcW w:type="dxa" w:w="1881"/>
          </w:tcPr>
          <w:p>
            <w:r>
              <w:t>evaluation, presentation</w:t>
            </w:r>
          </w:p>
        </w:tc>
        <w:tc>
          <w:tcPr>
            <w:tcW w:type="dxa" w:w="1881"/>
          </w:tcPr>
          <w:p>
            <w:r/>
          </w:p>
        </w:tc>
      </w:tr>
      <w:tr>
        <w:tc>
          <w:tcPr>
            <w:tcW w:type="dxa" w:w="1881"/>
          </w:tcPr>
          <w:p>
            <w:r>
              <w:t>Rapprochements bancaires — qualité et exhaustivité</w:t>
            </w:r>
          </w:p>
        </w:tc>
        <w:tc>
          <w:tcPr>
            <w:tcW w:type="dxa" w:w="1881"/>
          </w:tcPr>
          <w:p>
            <w:r>
              <w:t>MOYEN</w:t>
            </w:r>
          </w:p>
        </w:tc>
        <w:tc>
          <w:tcPr>
            <w:tcW w:type="dxa" w:w="1881"/>
          </w:tcPr>
          <w:p>
            <w:r>
              <w:t>IA</w:t>
            </w:r>
          </w:p>
        </w:tc>
        <w:tc>
          <w:tcPr>
            <w:tcW w:type="dxa" w:w="1881"/>
          </w:tcPr>
          <w:p>
            <w:r>
              <w:t>evaluation, exhaustivite</w:t>
            </w:r>
          </w:p>
        </w:tc>
        <w:tc>
          <w:tcPr>
            <w:tcW w:type="dxa" w:w="1881"/>
          </w:tcPr>
          <w:p>
            <w:r/>
          </w:p>
        </w:tc>
      </w:tr>
      <w:tr>
        <w:tc>
          <w:tcPr>
            <w:tcW w:type="dxa" w:w="1881"/>
          </w:tcPr>
          <w:p>
            <w:r>
              <w:t>Séparation des tâches sur les flux de trésorerie</w:t>
            </w:r>
          </w:p>
        </w:tc>
        <w:tc>
          <w:tcPr>
            <w:tcW w:type="dxa" w:w="1881"/>
          </w:tcPr>
          <w:p>
            <w:r>
              <w:t>ÉLEVÉ</w:t>
            </w:r>
          </w:p>
        </w:tc>
        <w:tc>
          <w:tcPr>
            <w:tcW w:type="dxa" w:w="1881"/>
          </w:tcPr>
          <w:p>
            <w:r>
              <w:t>IA</w:t>
            </w:r>
          </w:p>
        </w:tc>
        <w:tc>
          <w:tcPr>
            <w:tcW w:type="dxa" w:w="1881"/>
          </w:tcPr>
          <w:p>
            <w:r>
              <w:t>existence, exhaustivite</w:t>
            </w:r>
          </w:p>
        </w:tc>
        <w:tc>
          <w:tcPr>
            <w:tcW w:type="dxa" w:w="1881"/>
          </w:tcPr>
          <w:p>
            <w:r/>
          </w:p>
        </w:tc>
      </w:tr>
    </w:tbl>
    <w:p/>
    <w:p>
      <w:r>
        <w:br w:type="page"/>
      </w:r>
    </w:p>
    <w:p>
      <w:pPr>
        <w:pStyle w:val="Heading1"/>
      </w:pPr>
      <w:r>
        <w:rPr>
          <w:color w:val="4F46E5"/>
        </w:rPr>
        <w:t>6. Programme de travail (NEP 300 / NEP 330)</w:t>
      </w:r>
    </w:p>
    <w:p>
      <w:r>
        <w:rPr>
          <w:b w:val="0"/>
          <w:i w:val="0"/>
          <w:sz w:val="22"/>
        </w:rPr>
        <w:t>8 contrôle(s) inclus dans le programme sur 8 planifiés. 0 contrôle(s) exclu(s) sur la base du niveau de risque et du seuil de signification.</w:t>
      </w:r>
    </w:p>
    <w:p>
      <w:pPr>
        <w:pStyle w:val="Heading2"/>
      </w:pPr>
      <w:r>
        <w:t>Cycle : Tresorerie</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rPr>
              <w:t>Réf. contrôle</w:t>
            </w:r>
          </w:p>
        </w:tc>
        <w:tc>
          <w:tcPr>
            <w:tcW w:type="dxa" w:w="2351"/>
          </w:tcPr>
          <w:p>
            <w:r>
              <w:rPr>
                <w:b/>
              </w:rPr>
              <w:t>Libellé</w:t>
            </w:r>
          </w:p>
        </w:tc>
        <w:tc>
          <w:tcPr>
            <w:tcW w:type="dxa" w:w="2351"/>
          </w:tcPr>
          <w:p>
            <w:r>
              <w:rPr>
                <w:b/>
              </w:rPr>
              <w:t>Priorité</w:t>
            </w:r>
          </w:p>
        </w:tc>
        <w:tc>
          <w:tcPr>
            <w:tcW w:type="dxa" w:w="2351"/>
          </w:tcPr>
          <w:p>
            <w:r>
              <w:rPr>
                <w:b/>
              </w:rPr>
              <w:t>Notes</w:t>
            </w:r>
          </w:p>
        </w:tc>
      </w:tr>
      <w:tr>
        <w:tc>
          <w:tcPr>
            <w:tcW w:type="dxa" w:w="2351"/>
          </w:tcPr>
          <w:p>
            <w:r>
              <w:t>TRESOR-BAL-EQUIL</w:t>
            </w:r>
          </w:p>
        </w:tc>
        <w:tc>
          <w:tcPr>
            <w:tcW w:type="dxa" w:w="2351"/>
          </w:tcPr>
          <w:p>
            <w:r>
              <w:t>Équilibre de la balance</w:t>
            </w:r>
          </w:p>
        </w:tc>
        <w:tc>
          <w:tcPr>
            <w:tcW w:type="dxa" w:w="2351"/>
          </w:tcPr>
          <w:p>
            <w:r>
              <w:t>haute</w:t>
            </w:r>
          </w:p>
        </w:tc>
        <w:tc>
          <w:tcPr>
            <w:tcW w:type="dxa" w:w="2351"/>
          </w:tcPr>
          <w:p>
            <w:r>
              <w:t>Contrôle préalable indispensable pour valider la cohérence arithmétique des sold</w:t>
            </w:r>
          </w:p>
        </w:tc>
      </w:tr>
      <w:tr>
        <w:tc>
          <w:tcPr>
            <w:tcW w:type="dxa" w:w="2351"/>
          </w:tcPr>
          <w:p>
            <w:r>
              <w:t>TRESOR-GL-COHER</w:t>
            </w:r>
          </w:p>
        </w:tc>
        <w:tc>
          <w:tcPr>
            <w:tcW w:type="dxa" w:w="2351"/>
          </w:tcPr>
          <w:p>
            <w:r>
              <w:t>Cohérence grand livre / balance</w:t>
            </w:r>
          </w:p>
        </w:tc>
        <w:tc>
          <w:tcPr>
            <w:tcW w:type="dxa" w:w="2351"/>
          </w:tcPr>
          <w:p>
            <w:r>
              <w:t>haute</w:t>
            </w:r>
          </w:p>
        </w:tc>
        <w:tc>
          <w:tcPr>
            <w:tcW w:type="dxa" w:w="2351"/>
          </w:tcPr>
          <w:p>
            <w:r>
              <w:t>Permet de détecter toute discordance entre les mouvements enregistrés au grand l</w:t>
            </w:r>
          </w:p>
        </w:tc>
      </w:tr>
      <w:tr>
        <w:tc>
          <w:tcPr>
            <w:tcW w:type="dxa" w:w="2351"/>
          </w:tcPr>
          <w:p>
            <w:r>
              <w:t>TRESOR-SEQ-PIECES</w:t>
            </w:r>
          </w:p>
        </w:tc>
        <w:tc>
          <w:tcPr>
            <w:tcW w:type="dxa" w:w="2351"/>
          </w:tcPr>
          <w:p>
            <w:r>
              <w:t>Continuité des séquences de pièces</w:t>
            </w:r>
          </w:p>
        </w:tc>
        <w:tc>
          <w:tcPr>
            <w:tcW w:type="dxa" w:w="2351"/>
          </w:tcPr>
          <w:p>
            <w:r>
              <w:t>haute</w:t>
            </w:r>
          </w:p>
        </w:tc>
        <w:tc>
          <w:tcPr>
            <w:tcW w:type="dxa" w:w="2351"/>
          </w:tcPr>
          <w:p>
            <w:r>
              <w:t>La vérification de la continuité des séquences de pièces comptables permet de dé</w:t>
            </w:r>
          </w:p>
        </w:tc>
      </w:tr>
      <w:tr>
        <w:tc>
          <w:tcPr>
            <w:tcW w:type="dxa" w:w="2351"/>
          </w:tcPr>
          <w:p>
            <w:r>
              <w:t>TRESOR-VARIATION</w:t>
            </w:r>
          </w:p>
        </w:tc>
        <w:tc>
          <w:tcPr>
            <w:tcW w:type="dxa" w:w="2351"/>
          </w:tcPr>
          <w:p>
            <w:r>
              <w:t>Variations N/N-1 trésorerie</w:t>
            </w:r>
          </w:p>
        </w:tc>
        <w:tc>
          <w:tcPr>
            <w:tcW w:type="dxa" w:w="2351"/>
          </w:tcPr>
          <w:p>
            <w:r>
              <w:t>haute</w:t>
            </w:r>
          </w:p>
        </w:tc>
        <w:tc>
          <w:tcPr>
            <w:tcW w:type="dxa" w:w="2351"/>
          </w:tcPr>
          <w:p>
            <w:r>
              <w:t>En premier exercice, l'analyse des variations de trésorerie est conduite par rap</w:t>
            </w:r>
          </w:p>
        </w:tc>
      </w:tr>
      <w:tr>
        <w:tc>
          <w:tcPr>
            <w:tcW w:type="dxa" w:w="2351"/>
          </w:tcPr>
          <w:p>
            <w:r>
              <w:t>TRESOR-RAPPROCH</w:t>
            </w:r>
          </w:p>
        </w:tc>
        <w:tc>
          <w:tcPr>
            <w:tcW w:type="dxa" w:w="2351"/>
          </w:tcPr>
          <w:p>
            <w:r>
              <w:t>Rapprochement bancaire</w:t>
            </w:r>
          </w:p>
        </w:tc>
        <w:tc>
          <w:tcPr>
            <w:tcW w:type="dxa" w:w="2351"/>
          </w:tcPr>
          <w:p>
            <w:r>
              <w:t>haute</w:t>
            </w:r>
          </w:p>
        </w:tc>
        <w:tc>
          <w:tcPr>
            <w:tcW w:type="dxa" w:w="2351"/>
          </w:tcPr>
          <w:p>
            <w:r>
              <w:t>Contrôle central du cycle trésorerie en premier exercice : chaque solde comptabl</w:t>
            </w:r>
          </w:p>
        </w:tc>
      </w:tr>
      <w:tr>
        <w:tc>
          <w:tcPr>
            <w:tcW w:type="dxa" w:w="2351"/>
          </w:tcPr>
          <w:p>
            <w:r>
              <w:t>TRESOR-SOLDE-ANORMAL</w:t>
            </w:r>
          </w:p>
        </w:tc>
        <w:tc>
          <w:tcPr>
            <w:tcW w:type="dxa" w:w="2351"/>
          </w:tcPr>
          <w:p>
            <w:r>
              <w:t>Soldes créditeurs anormaux — Trésorerie</w:t>
            </w:r>
          </w:p>
        </w:tc>
        <w:tc>
          <w:tcPr>
            <w:tcW w:type="dxa" w:w="2351"/>
          </w:tcPr>
          <w:p>
            <w:r>
              <w:t>haute</w:t>
            </w:r>
          </w:p>
        </w:tc>
        <w:tc>
          <w:tcPr>
            <w:tcW w:type="dxa" w:w="2351"/>
          </w:tcPr>
          <w:p>
            <w:r>
              <w:t>La détection de soldes créditeurs dans les comptes de trésorerie permet d'identi</w:t>
            </w:r>
          </w:p>
        </w:tc>
      </w:tr>
      <w:tr>
        <w:tc>
          <w:tcPr>
            <w:tcW w:type="dxa" w:w="2351"/>
          </w:tcPr>
          <w:p>
            <w:r>
              <w:t>TRESOR-ROUND</w:t>
            </w:r>
          </w:p>
        </w:tc>
        <w:tc>
          <w:tcPr>
            <w:tcW w:type="dxa" w:w="2351"/>
          </w:tcPr>
          <w:p>
            <w:r>
              <w:t>Concentration de montants ronds — Trésorerie</w:t>
            </w:r>
          </w:p>
        </w:tc>
        <w:tc>
          <w:tcPr>
            <w:tcW w:type="dxa" w:w="2351"/>
          </w:tcPr>
          <w:p>
            <w:r>
              <w:t>haute</w:t>
            </w:r>
          </w:p>
        </w:tc>
        <w:tc>
          <w:tcPr>
            <w:tcW w:type="dxa" w:w="2351"/>
          </w:tcPr>
          <w:p>
            <w:r>
              <w:t>La concentration de montants ronds sur les flux de trésorerie peut révéler des p</w:t>
            </w:r>
          </w:p>
        </w:tc>
      </w:tr>
      <w:tr>
        <w:tc>
          <w:tcPr>
            <w:tcW w:type="dxa" w:w="2351"/>
          </w:tcPr>
          <w:p>
            <w:r>
              <w:t>TRESOR-CUT-OFF</w:t>
            </w:r>
          </w:p>
        </w:tc>
        <w:tc>
          <w:tcPr>
            <w:tcW w:type="dxa" w:w="2351"/>
          </w:tcPr>
          <w:p>
            <w:r>
              <w:t>Concentration d'écritures en fin d'exercice — Trésorerie</w:t>
            </w:r>
          </w:p>
        </w:tc>
        <w:tc>
          <w:tcPr>
            <w:tcW w:type="dxa" w:w="2351"/>
          </w:tcPr>
          <w:p>
            <w:r>
              <w:t>haute</w:t>
            </w:r>
          </w:p>
        </w:tc>
        <w:tc>
          <w:tcPr>
            <w:tcW w:type="dxa" w:w="2351"/>
          </w:tcPr>
          <w:p>
            <w:r>
              <w:t>Le volume d'activité élevé dès la première année accroît le risque de rattacheme</w:t>
            </w:r>
          </w:p>
        </w:tc>
      </w:tr>
    </w:tbl>
    <w:p/>
    <w:p>
      <w:r>
        <w:br w:type="page"/>
      </w:r>
    </w:p>
    <w:p>
      <w:pPr>
        <w:pStyle w:val="Heading1"/>
      </w:pPr>
      <w:r>
        <w:rPr>
          <w:color w:val="4F46E5"/>
        </w:rPr>
        <w:t>7. Synthèse et conclusion</w:t>
      </w:r>
    </w:p>
    <w:p>
      <w:r>
        <w:rPr>
          <w:b/>
          <w:i w:val="0"/>
          <w:sz w:val="22"/>
        </w:rPr>
        <w:t>Note de synthèse</w:t>
      </w:r>
    </w:p>
    <w:p/>
    <w:p/>
    <w:p>
      <w:pPr>
        <w:spacing w:after="0"/>
      </w:pPr>
      <w:r>
        <w:rPr>
          <w:sz w:val="16"/>
        </w:rPr>
        <w:t>────────────────────────────────────────────────────────────────────────────────</w:t>
      </w:r>
    </w:p>
    <w:p/>
    <w:p>
      <w:r>
        <w:rPr>
          <w:b/>
        </w:rPr>
        <w:t>Validation par l'auditeur responsable de la mission</w:t>
        <w:br/>
        <w:br/>
      </w:r>
      <w:r>
        <w:t xml:space="preserve">Nom : ___________________________          </w:t>
      </w:r>
      <w:r>
        <w:t>Date : ___________________________</w:t>
        <w:br/>
        <w:br/>
      </w:r>
      <w:r>
        <w:t>Signature : ___________________________</w:t>
      </w:r>
    </w:p>
    <w:p/>
    <w:p>
      <w:pPr>
        <w:spacing w:after="0"/>
      </w:pPr>
      <w:r>
        <w:rPr>
          <w:sz w:val="16"/>
        </w:rPr>
        <w:t>────────────────────────────────────────────────────────────────────────────────</w:t>
      </w:r>
    </w:p>
    <w:p>
      <w:pPr>
        <w:jc w:val="center"/>
      </w:pPr>
      <w:r>
        <w:rPr>
          <w:i/>
          <w:sz w:val="18"/>
        </w:rPr>
        <w:t>Document généré par Probare le 23/06/2026 13:54 UTC · Document confidentiel · Dossier de travail NEP 230</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