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6"/>
        </w:rPr>
        <w:t>PROBARE</w:t>
      </w:r>
    </w:p>
    <w:p>
      <w:pPr>
        <w:jc w:val="center"/>
      </w:pPr>
      <w:r>
        <w:rPr>
          <w:i/>
        </w:rPr>
        <w:t>Logiciel d'audit IA-first — Djibouti</w:t>
      </w:r>
    </w:p>
    <w:p/>
    <w:p>
      <w:pPr>
        <w:pStyle w:val="Title"/>
        <w:jc w:val="center"/>
      </w:pPr>
      <w:r>
        <w:t>NOTE DE PLANIFICATION DE L'AUDIT</w:t>
      </w:r>
    </w:p>
    <w:p/>
    <w:p>
      <w:pPr>
        <w:spacing w:after="0"/>
      </w:pPr>
      <w:r>
        <w:rPr>
          <w:sz w:val="16"/>
        </w:rPr>
        <w:t>────────────────────────────────────────────────────────────────────────────────</w:t>
      </w:r>
    </w:p>
    <w:p/>
    <w:p>
      <w:pPr>
        <w:jc w:val="center"/>
      </w:pPr>
      <w:r>
        <w:rPr>
          <w:sz w:val="24"/>
        </w:rPr>
        <w:t>Entité auditée : TEST</w:t>
        <w:br/>
      </w:r>
      <w:r>
        <w:rPr>
          <w:sz w:val="24"/>
        </w:rPr>
        <w:t>Exercice : 2026</w:t>
        <w:br/>
      </w:r>
      <w:r>
        <w:rPr>
          <w:sz w:val="24"/>
        </w:rPr>
        <w:t>Date d'émission : 25/06/2026 07:59 UTC</w:t>
        <w:br/>
      </w:r>
      <w:r>
        <w:rPr>
          <w:sz w:val="24"/>
        </w:rPr>
        <w:t>Référence NEP : 300 — Planification</w:t>
        <w:br/>
      </w:r>
      <w:r>
        <w:rPr>
          <w:sz w:val="24"/>
        </w:rPr>
        <w:t>Statut : Document de travail — CONFIDENTIEL</w:t>
        <w:br/>
      </w:r>
    </w:p>
    <w:p/>
    <w:p>
      <w:pPr>
        <w:spacing w:after="0"/>
      </w:pPr>
      <w:r>
        <w:rPr>
          <w:sz w:val="16"/>
        </w:rPr>
        <w:t>────────────────────────────────────────────────────────────────────────────────</w:t>
      </w:r>
    </w:p>
    <w:p>
      <w:r>
        <w:br w:type="page"/>
      </w:r>
    </w:p>
    <w:p>
      <w:pPr>
        <w:pStyle w:val="Heading1"/>
      </w:pPr>
      <w:r>
        <w:rPr>
          <w:color w:val="4F46E5"/>
        </w:rPr>
        <w:t>Sommaire</w:t>
      </w:r>
    </w:p>
    <w:p>
      <w:pPr>
        <w:pStyle w:val="ListNumber"/>
      </w:pPr>
      <w:r>
        <w:t>1. Cadre et objectifs de la mission</w:t>
      </w:r>
    </w:p>
    <w:p>
      <w:pPr>
        <w:pStyle w:val="ListNumber"/>
      </w:pPr>
      <w:r>
        <w:t>2. Connaissance de l'entité (NEP 315)</w:t>
      </w:r>
    </w:p>
    <w:p>
      <w:pPr>
        <w:pStyle w:val="ListNumber"/>
      </w:pPr>
      <w:r>
        <w:t>3. Procédures analytiques préliminaires (NEP 520)</w:t>
      </w:r>
    </w:p>
    <w:p>
      <w:pPr>
        <w:pStyle w:val="ListNumber"/>
      </w:pPr>
      <w:r>
        <w:t>4. Seuil de signification (NEP 320)</w:t>
      </w:r>
    </w:p>
    <w:p>
      <w:pPr>
        <w:pStyle w:val="ListNumber"/>
      </w:pPr>
      <w:r>
        <w:t>5. Cartographie des risques (NEP 315)</w:t>
      </w:r>
    </w:p>
    <w:p>
      <w:pPr>
        <w:pStyle w:val="ListNumber"/>
      </w:pPr>
      <w:r>
        <w:t>6. Programme de travail (NEP 300 / NEP 330)</w:t>
      </w:r>
    </w:p>
    <w:p>
      <w:pPr>
        <w:pStyle w:val="ListNumber"/>
      </w:pPr>
      <w:r>
        <w:t>7. Synthèse et conclusion</w:t>
      </w:r>
    </w:p>
    <w:p>
      <w:r>
        <w:br w:type="page"/>
      </w:r>
    </w:p>
    <w:p>
      <w:pPr>
        <w:pStyle w:val="Heading1"/>
      </w:pPr>
      <w:r>
        <w:rPr>
          <w:color w:val="4F46E5"/>
        </w:rPr>
        <w:t>1. Cadre et objectifs de la mission</w:t>
      </w:r>
    </w:p>
    <w:p>
      <w:r>
        <w:rPr>
          <w:b w:val="0"/>
          <w:i w:val="0"/>
          <w:sz w:val="22"/>
        </w:rPr>
        <w:t>La présente note de planification est établie conformément à la NEP 300 pour la mission d'audit des comptes de l'exercice 2026 de l'entité TEST. Elle constitue un document de travail confidentiel intégré au dossier d'audit et doit être conservée pendant la durée légale (5 ans).</w:t>
      </w:r>
    </w:p>
    <w:p>
      <w:pPr>
        <w:pStyle w:val="Heading2"/>
      </w:pPr>
      <w:r>
        <w:t>1.1 Objectifs de l'audit</w:t>
      </w:r>
    </w:p>
    <w:p>
      <w:r>
        <w:rPr>
          <w:b w:val="0"/>
          <w:i w:val="0"/>
          <w:sz w:val="22"/>
        </w:rPr>
        <w:t>L'audit a pour objectif d'émettre une opinion sur la régularité, la sincérité et l'image fidèle des états financiers. Cet objectif est atteint par la mise en œuvre de diligences adaptées aux risques identifiés lors de la présente phase de planification.</w:t>
      </w:r>
    </w:p>
    <w:p>
      <w:pPr>
        <w:pStyle w:val="Heading2"/>
      </w:pPr>
      <w:r>
        <w:t>1.2 Référentiels applicables</w:t>
      </w:r>
    </w:p>
    <w:p>
      <w:pPr>
        <w:pStyle w:val="ListBullet"/>
      </w:pPr>
      <w:r>
        <w:t>NEP 300 — Planification de la mission</w:t>
      </w:r>
    </w:p>
    <w:p>
      <w:pPr>
        <w:pStyle w:val="ListBullet"/>
      </w:pPr>
      <w:r>
        <w:t>NEP 315 — Connaissance de l'entité et identification des risques</w:t>
      </w:r>
    </w:p>
    <w:p>
      <w:pPr>
        <w:pStyle w:val="ListBullet"/>
      </w:pPr>
      <w:r>
        <w:t>NEP 320 — Seuil de signification</w:t>
      </w:r>
    </w:p>
    <w:p>
      <w:pPr>
        <w:pStyle w:val="ListBullet"/>
      </w:pPr>
      <w:r>
        <w:t>NEP 330 — Procédures d'audit mises en œuvre en réponse aux risques évalués</w:t>
      </w:r>
    </w:p>
    <w:p>
      <w:pPr>
        <w:pStyle w:val="ListBullet"/>
      </w:pPr>
      <w:r>
        <w:t>NEP 520 — Procédures analytiques</w:t>
      </w:r>
    </w:p>
    <w:p>
      <w:pPr>
        <w:pStyle w:val="ListBullet"/>
      </w:pPr>
      <w:r>
        <w:t>NEP 230 — Documentation des travaux</w:t>
      </w:r>
    </w:p>
    <w:p>
      <w:r>
        <w:br w:type="page"/>
      </w:r>
    </w:p>
    <w:p>
      <w:pPr>
        <w:pStyle w:val="Heading1"/>
      </w:pPr>
      <w:r>
        <w:rPr>
          <w:color w:val="4F46E5"/>
        </w:rPr>
        <w:t>2. Connaissance de l'entité (NEP 315)</w:t>
      </w:r>
    </w:p>
    <w:p/>
    <w:p>
      <w:pPr>
        <w:pStyle w:val="Heading2"/>
      </w:pPr>
      <w:r>
        <w:t>2.1 Identification et présentation générale</w:t>
      </w:r>
    </w:p>
    <w:p>
      <w:r>
        <w:rPr>
          <w:b/>
          <w:sz w:val="22"/>
        </w:rPr>
        <w:t xml:space="preserve">Forme juridique : </w:t>
      </w:r>
      <w:r>
        <w:rPr>
          <w:sz w:val="22"/>
        </w:rPr>
        <w:t>SARL</w:t>
      </w:r>
      <w:r>
        <w:br/>
      </w:r>
      <w:r>
        <w:rPr>
          <w:b/>
          <w:sz w:val="22"/>
        </w:rPr>
        <w:t xml:space="preserve">Date de création : </w:t>
      </w:r>
      <w:r>
        <w:rPr>
          <w:sz w:val="22"/>
        </w:rPr>
        <w:t>2012-12-12</w:t>
      </w:r>
      <w:r>
        <w:br/>
      </w:r>
      <w:r>
        <w:rPr>
          <w:b/>
          <w:sz w:val="22"/>
        </w:rPr>
        <w:t xml:space="preserve">Effectif : </w:t>
      </w:r>
      <w:r>
        <w:rPr>
          <w:sz w:val="22"/>
        </w:rPr>
        <w:t>18</w:t>
      </w:r>
      <w:r>
        <w:br/>
      </w:r>
      <w:r>
        <w:rPr>
          <w:b/>
          <w:sz w:val="22"/>
        </w:rPr>
        <w:t xml:space="preserve">Système d'information : </w:t>
      </w:r>
      <w:r>
        <w:rPr>
          <w:sz w:val="22"/>
        </w:rPr>
        <w:t>ERP</w:t>
      </w:r>
      <w:r>
        <w:br/>
      </w:r>
    </w:p>
    <w:p>
      <w:pPr>
        <w:pStyle w:val="Heading2"/>
      </w:pPr>
      <w:r>
        <w:t>2.2 Activités et marchés</w:t>
      </w:r>
    </w:p>
    <w:p>
      <w:r>
        <w:rPr>
          <w:b w:val="0"/>
          <w:i w:val="0"/>
          <w:sz w:val="22"/>
        </w:rPr>
        <w:t>Ventes de meubles</w:t>
      </w:r>
    </w:p>
    <w:p>
      <w:pPr>
        <w:pStyle w:val="Heading2"/>
      </w:pPr>
      <w:r>
        <w:t>2.3 Gouvernance — Dirigeants</w:t>
      </w:r>
    </w:p>
    <w:p>
      <w:r>
        <w:rPr>
          <w:b w:val="0"/>
          <w:i/>
          <w:sz w:val="22"/>
        </w:rPr>
        <w:t>Aucun dirigeant renseigné.</w:t>
      </w:r>
    </w:p>
    <w:p>
      <w:pPr>
        <w:pStyle w:val="Heading2"/>
      </w:pPr>
      <w:r>
        <w:t>2.4 Facteurs de risque inhérent identifiés</w:t>
      </w:r>
    </w:p>
    <w:p>
      <w:r>
        <w:rPr>
          <w:b w:val="0"/>
          <w:i/>
          <w:sz w:val="22"/>
        </w:rPr>
        <w:t>Aucun facteur de risque inhérent spécifique identifié.</w:t>
      </w:r>
    </w:p>
    <w:p>
      <w:r>
        <w:br w:type="page"/>
      </w:r>
    </w:p>
    <w:p>
      <w:pPr>
        <w:pStyle w:val="Heading1"/>
      </w:pPr>
      <w:r>
        <w:rPr>
          <w:color w:val="4F46E5"/>
        </w:rPr>
        <w:t>3. Procédures analytiques préliminaires (NEP 520)</w:t>
      </w:r>
    </w:p>
    <w:p>
      <w:r>
        <w:rPr>
          <w:b w:val="0"/>
          <w:i w:val="0"/>
          <w:sz w:val="22"/>
        </w:rPr>
        <w:t>Les procédures analytiques préliminaires consistent à comparer les données financières de l'exercice N aux données de l'exercice N-1 afin d'identifier les variations significatives susceptibles de révéler un risque d'anomalie.</w:t>
      </w:r>
    </w:p>
    <w:p>
      <w:pPr>
        <w:pStyle w:val="Heading2"/>
      </w:pPr>
      <w:r>
        <w:t>3.1 Variations significatives identifiées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Compte</w:t>
            </w:r>
          </w:p>
        </w:tc>
        <w:tc>
          <w:tcPr>
            <w:tcW w:type="dxa" w:w="1881"/>
          </w:tcPr>
          <w:p>
            <w:r>
              <w:rPr>
                <w:b/>
              </w:rPr>
              <w:t>Libellé</w:t>
            </w:r>
          </w:p>
        </w:tc>
        <w:tc>
          <w:tcPr>
            <w:tcW w:type="dxa" w:w="1881"/>
          </w:tcPr>
          <w:p>
            <w:r>
              <w:rPr>
                <w:b/>
              </w:rPr>
              <w:t>Solde N</w:t>
            </w:r>
          </w:p>
        </w:tc>
        <w:tc>
          <w:tcPr>
            <w:tcW w:type="dxa" w:w="1881"/>
          </w:tcPr>
          <w:p>
            <w:r>
              <w:rPr>
                <w:b/>
              </w:rPr>
              <w:t>Solde N-1</w:t>
            </w:r>
          </w:p>
        </w:tc>
        <w:tc>
          <w:tcPr>
            <w:tcW w:type="dxa" w:w="1881"/>
          </w:tcPr>
          <w:p>
            <w:r>
              <w:rPr>
                <w:b/>
              </w:rPr>
              <w:t>Variation %</w:t>
            </w:r>
          </w:p>
        </w:tc>
      </w:tr>
      <w:tr>
        <w:tc>
          <w:tcPr>
            <w:tcW w:type="dxa" w:w="1881"/>
          </w:tcPr>
          <w:p>
            <w:r>
              <w:t>707</w:t>
            </w:r>
          </w:p>
        </w:tc>
        <w:tc>
          <w:tcPr>
            <w:tcW w:type="dxa" w:w="1881"/>
          </w:tcPr>
          <w:p>
            <w:r>
              <w:t>Ventes de marchandises</w:t>
            </w:r>
          </w:p>
        </w:tc>
        <w:tc>
          <w:tcPr>
            <w:tcW w:type="dxa" w:w="1881"/>
          </w:tcPr>
          <w:p>
            <w:r>
              <w:t>-412,000,000 FDJ</w:t>
            </w:r>
          </w:p>
        </w:tc>
        <w:tc>
          <w:tcPr>
            <w:tcW w:type="dxa" w:w="1881"/>
          </w:tcPr>
          <w:p>
            <w:r>
              <w:t>0 FDJ</w:t>
            </w:r>
          </w:p>
        </w:tc>
        <w:tc>
          <w:tcPr>
            <w:tcW w:type="dxa" w:w="1881"/>
          </w:tcPr>
          <w:p>
            <w:r>
              <w:t>+100.0 %</w:t>
            </w:r>
          </w:p>
        </w:tc>
      </w:tr>
      <w:tr>
        <w:tc>
          <w:tcPr>
            <w:tcW w:type="dxa" w:w="1881"/>
          </w:tcPr>
          <w:p>
            <w:r>
              <w:t>607</w:t>
            </w:r>
          </w:p>
        </w:tc>
        <w:tc>
          <w:tcPr>
            <w:tcW w:type="dxa" w:w="1881"/>
          </w:tcPr>
          <w:p>
            <w:r>
              <w:t>Achats de marchandises</w:t>
            </w:r>
          </w:p>
        </w:tc>
        <w:tc>
          <w:tcPr>
            <w:tcW w:type="dxa" w:w="1881"/>
          </w:tcPr>
          <w:p>
            <w:r>
              <w:t>300,000,000 FDJ</w:t>
            </w:r>
          </w:p>
        </w:tc>
        <w:tc>
          <w:tcPr>
            <w:tcW w:type="dxa" w:w="1881"/>
          </w:tcPr>
          <w:p>
            <w:r>
              <w:t>0 FDJ</w:t>
            </w:r>
          </w:p>
        </w:tc>
        <w:tc>
          <w:tcPr>
            <w:tcW w:type="dxa" w:w="1881"/>
          </w:tcPr>
          <w:p>
            <w:r>
              <w:t>+100.0 %</w:t>
            </w:r>
          </w:p>
        </w:tc>
      </w:tr>
      <w:tr>
        <w:tc>
          <w:tcPr>
            <w:tcW w:type="dxa" w:w="1881"/>
          </w:tcPr>
          <w:p>
            <w:r>
              <w:t>37</w:t>
            </w:r>
          </w:p>
        </w:tc>
        <w:tc>
          <w:tcPr>
            <w:tcW w:type="dxa" w:w="1881"/>
          </w:tcPr>
          <w:p>
            <w:r>
              <w:t>Stocks de marchandises</w:t>
            </w:r>
          </w:p>
        </w:tc>
        <w:tc>
          <w:tcPr>
            <w:tcW w:type="dxa" w:w="1881"/>
          </w:tcPr>
          <w:p>
            <w:r>
              <w:t>62,000,000 FDJ</w:t>
            </w:r>
          </w:p>
        </w:tc>
        <w:tc>
          <w:tcPr>
            <w:tcW w:type="dxa" w:w="1881"/>
          </w:tcPr>
          <w:p>
            <w:r>
              <w:t>0 FDJ</w:t>
            </w:r>
          </w:p>
        </w:tc>
        <w:tc>
          <w:tcPr>
            <w:tcW w:type="dxa" w:w="1881"/>
          </w:tcPr>
          <w:p>
            <w:r>
              <w:t>+100.0 %</w:t>
            </w:r>
          </w:p>
        </w:tc>
      </w:tr>
      <w:tr>
        <w:tc>
          <w:tcPr>
            <w:tcW w:type="dxa" w:w="1881"/>
          </w:tcPr>
          <w:p>
            <w:r>
              <w:t>411</w:t>
            </w:r>
          </w:p>
        </w:tc>
        <w:tc>
          <w:tcPr>
            <w:tcW w:type="dxa" w:w="1881"/>
          </w:tcPr>
          <w:p>
            <w:r>
              <w:t>Clients</w:t>
            </w:r>
          </w:p>
        </w:tc>
        <w:tc>
          <w:tcPr>
            <w:tcW w:type="dxa" w:w="1881"/>
          </w:tcPr>
          <w:p>
            <w:r>
              <w:t>58,000,000 FDJ</w:t>
            </w:r>
          </w:p>
        </w:tc>
        <w:tc>
          <w:tcPr>
            <w:tcW w:type="dxa" w:w="1881"/>
          </w:tcPr>
          <w:p>
            <w:r>
              <w:t>0 FDJ</w:t>
            </w:r>
          </w:p>
        </w:tc>
        <w:tc>
          <w:tcPr>
            <w:tcW w:type="dxa" w:w="1881"/>
          </w:tcPr>
          <w:p>
            <w:r>
              <w:t>+100.0 %</w:t>
            </w:r>
          </w:p>
        </w:tc>
      </w:tr>
      <w:tr>
        <w:tc>
          <w:tcPr>
            <w:tcW w:type="dxa" w:w="1881"/>
          </w:tcPr>
          <w:p>
            <w:r>
              <w:t>401</w:t>
            </w:r>
          </w:p>
        </w:tc>
        <w:tc>
          <w:tcPr>
            <w:tcW w:type="dxa" w:w="1881"/>
          </w:tcPr>
          <w:p>
            <w:r>
              <w:t>Fournisseurs</w:t>
            </w:r>
          </w:p>
        </w:tc>
        <w:tc>
          <w:tcPr>
            <w:tcW w:type="dxa" w:w="1881"/>
          </w:tcPr>
          <w:p>
            <w:r>
              <w:t>-48,000,000 FDJ</w:t>
            </w:r>
          </w:p>
        </w:tc>
        <w:tc>
          <w:tcPr>
            <w:tcW w:type="dxa" w:w="1881"/>
          </w:tcPr>
          <w:p>
            <w:r>
              <w:t>0 FDJ</w:t>
            </w:r>
          </w:p>
        </w:tc>
        <w:tc>
          <w:tcPr>
            <w:tcW w:type="dxa" w:w="1881"/>
          </w:tcPr>
          <w:p>
            <w:r>
              <w:t>+100.0 %</w:t>
            </w:r>
          </w:p>
        </w:tc>
      </w:tr>
      <w:tr>
        <w:tc>
          <w:tcPr>
            <w:tcW w:type="dxa" w:w="1881"/>
          </w:tcPr>
          <w:p>
            <w:r>
              <w:t>61/62</w:t>
            </w:r>
          </w:p>
        </w:tc>
        <w:tc>
          <w:tcPr>
            <w:tcW w:type="dxa" w:w="1881"/>
          </w:tcPr>
          <w:p>
            <w:r>
              <w:t>Autres charges externes</w:t>
            </w:r>
          </w:p>
        </w:tc>
        <w:tc>
          <w:tcPr>
            <w:tcW w:type="dxa" w:w="1881"/>
          </w:tcPr>
          <w:p>
            <w:r>
              <w:t>45,000,000 FDJ</w:t>
            </w:r>
          </w:p>
        </w:tc>
        <w:tc>
          <w:tcPr>
            <w:tcW w:type="dxa" w:w="1881"/>
          </w:tcPr>
          <w:p>
            <w:r>
              <w:t>0 FDJ</w:t>
            </w:r>
          </w:p>
        </w:tc>
        <w:tc>
          <w:tcPr>
            <w:tcW w:type="dxa" w:w="1881"/>
          </w:tcPr>
          <w:p>
            <w:r>
              <w:t>+100.0 %</w:t>
            </w:r>
          </w:p>
        </w:tc>
      </w:tr>
      <w:tr>
        <w:tc>
          <w:tcPr>
            <w:tcW w:type="dxa" w:w="1881"/>
          </w:tcPr>
          <w:p>
            <w:r>
              <w:t>64</w:t>
            </w:r>
          </w:p>
        </w:tc>
        <w:tc>
          <w:tcPr>
            <w:tcW w:type="dxa" w:w="1881"/>
          </w:tcPr>
          <w:p>
            <w:r>
              <w:t>Charges de personnel</w:t>
            </w:r>
          </w:p>
        </w:tc>
        <w:tc>
          <w:tcPr>
            <w:tcW w:type="dxa" w:w="1881"/>
          </w:tcPr>
          <w:p>
            <w:r>
              <w:t>38,000,000 FDJ</w:t>
            </w:r>
          </w:p>
        </w:tc>
        <w:tc>
          <w:tcPr>
            <w:tcW w:type="dxa" w:w="1881"/>
          </w:tcPr>
          <w:p>
            <w:r>
              <w:t>0 FDJ</w:t>
            </w:r>
          </w:p>
        </w:tc>
        <w:tc>
          <w:tcPr>
            <w:tcW w:type="dxa" w:w="1881"/>
          </w:tcPr>
          <w:p>
            <w:r>
              <w:t>+100.0 %</w:t>
            </w:r>
          </w:p>
        </w:tc>
      </w:tr>
      <w:tr>
        <w:tc>
          <w:tcPr>
            <w:tcW w:type="dxa" w:w="1881"/>
          </w:tcPr>
          <w:p>
            <w:r>
              <w:t>164</w:t>
            </w:r>
          </w:p>
        </w:tc>
        <w:tc>
          <w:tcPr>
            <w:tcW w:type="dxa" w:w="1881"/>
          </w:tcPr>
          <w:p>
            <w:r>
              <w:t>Emprunts auprès des établissements de crédit</w:t>
            </w:r>
          </w:p>
        </w:tc>
        <w:tc>
          <w:tcPr>
            <w:tcW w:type="dxa" w:w="1881"/>
          </w:tcPr>
          <w:p>
            <w:r>
              <w:t>-35,000,000 FDJ</w:t>
            </w:r>
          </w:p>
        </w:tc>
        <w:tc>
          <w:tcPr>
            <w:tcW w:type="dxa" w:w="1881"/>
          </w:tcPr>
          <w:p>
            <w:r>
              <w:t>0 FDJ</w:t>
            </w:r>
          </w:p>
        </w:tc>
        <w:tc>
          <w:tcPr>
            <w:tcW w:type="dxa" w:w="1881"/>
          </w:tcPr>
          <w:p>
            <w:r>
              <w:t>+100.0 %</w:t>
            </w:r>
          </w:p>
        </w:tc>
      </w:tr>
      <w:tr>
        <w:tc>
          <w:tcPr>
            <w:tcW w:type="dxa" w:w="1881"/>
          </w:tcPr>
          <w:p>
            <w:r>
              <w:t>101</w:t>
            </w:r>
          </w:p>
        </w:tc>
        <w:tc>
          <w:tcPr>
            <w:tcW w:type="dxa" w:w="1881"/>
          </w:tcPr>
          <w:p>
            <w:r>
              <w:t>Capital social</w:t>
            </w:r>
          </w:p>
        </w:tc>
        <w:tc>
          <w:tcPr>
            <w:tcW w:type="dxa" w:w="1881"/>
          </w:tcPr>
          <w:p>
            <w:r>
              <w:t>-30,000,000 FDJ</w:t>
            </w:r>
          </w:p>
        </w:tc>
        <w:tc>
          <w:tcPr>
            <w:tcW w:type="dxa" w:w="1881"/>
          </w:tcPr>
          <w:p>
            <w:r>
              <w:t>0 FDJ</w:t>
            </w:r>
          </w:p>
        </w:tc>
        <w:tc>
          <w:tcPr>
            <w:tcW w:type="dxa" w:w="1881"/>
          </w:tcPr>
          <w:p>
            <w:r>
              <w:t>+100.0 %</w:t>
            </w:r>
          </w:p>
        </w:tc>
      </w:tr>
      <w:tr>
        <w:tc>
          <w:tcPr>
            <w:tcW w:type="dxa" w:w="1881"/>
          </w:tcPr>
          <w:p>
            <w:r>
              <w:t>215</w:t>
            </w:r>
          </w:p>
        </w:tc>
        <w:tc>
          <w:tcPr>
            <w:tcW w:type="dxa" w:w="1881"/>
          </w:tcPr>
          <w:p>
            <w:r>
              <w:t>Installations techniques, matériel et outillage</w:t>
            </w:r>
          </w:p>
        </w:tc>
        <w:tc>
          <w:tcPr>
            <w:tcW w:type="dxa" w:w="1881"/>
          </w:tcPr>
          <w:p>
            <w:r>
              <w:t>25,000,000 FDJ</w:t>
            </w:r>
          </w:p>
        </w:tc>
        <w:tc>
          <w:tcPr>
            <w:tcW w:type="dxa" w:w="1881"/>
          </w:tcPr>
          <w:p>
            <w:r>
              <w:t>0 FDJ</w:t>
            </w:r>
          </w:p>
        </w:tc>
        <w:tc>
          <w:tcPr>
            <w:tcW w:type="dxa" w:w="1881"/>
          </w:tcPr>
          <w:p>
            <w:r>
              <w:t>+100.0 %</w:t>
            </w:r>
          </w:p>
        </w:tc>
      </w:tr>
      <w:tr>
        <w:tc>
          <w:tcPr>
            <w:tcW w:type="dxa" w:w="1881"/>
          </w:tcPr>
          <w:p>
            <w:r>
              <w:t>512</w:t>
            </w:r>
          </w:p>
        </w:tc>
        <w:tc>
          <w:tcPr>
            <w:tcW w:type="dxa" w:w="1881"/>
          </w:tcPr>
          <w:p>
            <w:r>
              <w:t>Banque</w:t>
            </w:r>
          </w:p>
        </w:tc>
        <w:tc>
          <w:tcPr>
            <w:tcW w:type="dxa" w:w="1881"/>
          </w:tcPr>
          <w:p>
            <w:r>
              <w:t>21,000,000 FDJ</w:t>
            </w:r>
          </w:p>
        </w:tc>
        <w:tc>
          <w:tcPr>
            <w:tcW w:type="dxa" w:w="1881"/>
          </w:tcPr>
          <w:p>
            <w:r>
              <w:t>0 FDJ</w:t>
            </w:r>
          </w:p>
        </w:tc>
        <w:tc>
          <w:tcPr>
            <w:tcW w:type="dxa" w:w="1881"/>
          </w:tcPr>
          <w:p>
            <w:r>
              <w:t>+100.0 %</w:t>
            </w:r>
          </w:p>
        </w:tc>
      </w:tr>
      <w:tr>
        <w:tc>
          <w:tcPr>
            <w:tcW w:type="dxa" w:w="1881"/>
          </w:tcPr>
          <w:p>
            <w:r>
              <w:t>106</w:t>
            </w:r>
          </w:p>
        </w:tc>
        <w:tc>
          <w:tcPr>
            <w:tcW w:type="dxa" w:w="1881"/>
          </w:tcPr>
          <w:p>
            <w:r>
              <w:t>Réserves</w:t>
            </w:r>
          </w:p>
        </w:tc>
        <w:tc>
          <w:tcPr>
            <w:tcW w:type="dxa" w:w="1881"/>
          </w:tcPr>
          <w:p>
            <w:r>
              <w:t>-20,000,000 FDJ</w:t>
            </w:r>
          </w:p>
        </w:tc>
        <w:tc>
          <w:tcPr>
            <w:tcW w:type="dxa" w:w="1881"/>
          </w:tcPr>
          <w:p>
            <w:r>
              <w:t>0 FDJ</w:t>
            </w:r>
          </w:p>
        </w:tc>
        <w:tc>
          <w:tcPr>
            <w:tcW w:type="dxa" w:w="1881"/>
          </w:tcPr>
          <w:p>
            <w:r>
              <w:t>+100.0 %</w:t>
            </w:r>
          </w:p>
        </w:tc>
      </w:tr>
      <w:tr>
        <w:tc>
          <w:tcPr>
            <w:tcW w:type="dxa" w:w="1881"/>
          </w:tcPr>
          <w:p>
            <w:r>
              <w:t>218</w:t>
            </w:r>
          </w:p>
        </w:tc>
        <w:tc>
          <w:tcPr>
            <w:tcW w:type="dxa" w:w="1881"/>
          </w:tcPr>
          <w:p>
            <w:r>
              <w:t>Autres immobilisations corporelles (mobilier, véhicules)</w:t>
            </w:r>
          </w:p>
        </w:tc>
        <w:tc>
          <w:tcPr>
            <w:tcW w:type="dxa" w:w="1881"/>
          </w:tcPr>
          <w:p>
            <w:r>
              <w:t>20,000,000 FDJ</w:t>
            </w:r>
          </w:p>
        </w:tc>
        <w:tc>
          <w:tcPr>
            <w:tcW w:type="dxa" w:w="1881"/>
          </w:tcPr>
          <w:p>
            <w:r>
              <w:t>0 FDJ</w:t>
            </w:r>
          </w:p>
        </w:tc>
        <w:tc>
          <w:tcPr>
            <w:tcW w:type="dxa" w:w="1881"/>
          </w:tcPr>
          <w:p>
            <w:r>
              <w:t>+100.0 %</w:t>
            </w:r>
          </w:p>
        </w:tc>
      </w:tr>
      <w:tr>
        <w:tc>
          <w:tcPr>
            <w:tcW w:type="dxa" w:w="1881"/>
          </w:tcPr>
          <w:p>
            <w:r>
              <w:t>281</w:t>
            </w:r>
          </w:p>
        </w:tc>
        <w:tc>
          <w:tcPr>
            <w:tcW w:type="dxa" w:w="1881"/>
          </w:tcPr>
          <w:p>
            <w:r>
              <w:t>Amortissements des immobilisations corporelles</w:t>
            </w:r>
          </w:p>
        </w:tc>
        <w:tc>
          <w:tcPr>
            <w:tcW w:type="dxa" w:w="1881"/>
          </w:tcPr>
          <w:p>
            <w:r>
              <w:t>-18,000,000 FDJ</w:t>
            </w:r>
          </w:p>
        </w:tc>
        <w:tc>
          <w:tcPr>
            <w:tcW w:type="dxa" w:w="1881"/>
          </w:tcPr>
          <w:p>
            <w:r>
              <w:t>0 FDJ</w:t>
            </w:r>
          </w:p>
        </w:tc>
        <w:tc>
          <w:tcPr>
            <w:tcW w:type="dxa" w:w="1881"/>
          </w:tcPr>
          <w:p>
            <w:r>
              <w:t>+100.0 %</w:t>
            </w:r>
          </w:p>
        </w:tc>
      </w:tr>
      <w:tr>
        <w:tc>
          <w:tcPr>
            <w:tcW w:type="dxa" w:w="1881"/>
          </w:tcPr>
          <w:p>
            <w:r>
              <w:t>42/43</w:t>
            </w:r>
          </w:p>
        </w:tc>
        <w:tc>
          <w:tcPr>
            <w:tcW w:type="dxa" w:w="1881"/>
          </w:tcPr>
          <w:p>
            <w:r>
              <w:t>Personnel et organismes sociaux (dettes)</w:t>
            </w:r>
          </w:p>
        </w:tc>
        <w:tc>
          <w:tcPr>
            <w:tcW w:type="dxa" w:w="1881"/>
          </w:tcPr>
          <w:p>
            <w:r>
              <w:t>-7,000,000 FDJ</w:t>
            </w:r>
          </w:p>
        </w:tc>
        <w:tc>
          <w:tcPr>
            <w:tcW w:type="dxa" w:w="1881"/>
          </w:tcPr>
          <w:p>
            <w:r>
              <w:t>0 FDJ</w:t>
            </w:r>
          </w:p>
        </w:tc>
        <w:tc>
          <w:tcPr>
            <w:tcW w:type="dxa" w:w="1881"/>
          </w:tcPr>
          <w:p>
            <w:r>
              <w:t>+100.0 %</w:t>
            </w:r>
          </w:p>
        </w:tc>
      </w:tr>
      <w:tr>
        <w:tc>
          <w:tcPr>
            <w:tcW w:type="dxa" w:w="1881"/>
          </w:tcPr>
          <w:p>
            <w:r>
              <w:t>6037</w:t>
            </w:r>
          </w:p>
        </w:tc>
        <w:tc>
          <w:tcPr>
            <w:tcW w:type="dxa" w:w="1881"/>
          </w:tcPr>
          <w:p>
            <w:r>
              <w:t>Variation des stocks de marchandises</w:t>
            </w:r>
          </w:p>
        </w:tc>
        <w:tc>
          <w:tcPr>
            <w:tcW w:type="dxa" w:w="1881"/>
          </w:tcPr>
          <w:p>
            <w:r>
              <w:t>-7,000,000 FDJ</w:t>
            </w:r>
          </w:p>
        </w:tc>
        <w:tc>
          <w:tcPr>
            <w:tcW w:type="dxa" w:w="1881"/>
          </w:tcPr>
          <w:p>
            <w:r>
              <w:t>0 FDJ</w:t>
            </w:r>
          </w:p>
        </w:tc>
        <w:tc>
          <w:tcPr>
            <w:tcW w:type="dxa" w:w="1881"/>
          </w:tcPr>
          <w:p>
            <w:r>
              <w:t>+100.0 %</w:t>
            </w:r>
          </w:p>
        </w:tc>
      </w:tr>
      <w:tr>
        <w:tc>
          <w:tcPr>
            <w:tcW w:type="dxa" w:w="1881"/>
          </w:tcPr>
          <w:p>
            <w:r>
              <w:t>681</w:t>
            </w:r>
          </w:p>
        </w:tc>
        <w:tc>
          <w:tcPr>
            <w:tcW w:type="dxa" w:w="1881"/>
          </w:tcPr>
          <w:p>
            <w:r>
              <w:t>Dotations aux amortissements</w:t>
            </w:r>
          </w:p>
        </w:tc>
        <w:tc>
          <w:tcPr>
            <w:tcW w:type="dxa" w:w="1881"/>
          </w:tcPr>
          <w:p>
            <w:r>
              <w:t>6,000,000 FDJ</w:t>
            </w:r>
          </w:p>
        </w:tc>
        <w:tc>
          <w:tcPr>
            <w:tcW w:type="dxa" w:w="1881"/>
          </w:tcPr>
          <w:p>
            <w:r>
              <w:t>0 FDJ</w:t>
            </w:r>
          </w:p>
        </w:tc>
        <w:tc>
          <w:tcPr>
            <w:tcW w:type="dxa" w:w="1881"/>
          </w:tcPr>
          <w:p>
            <w:r>
              <w:t>+100.0 %</w:t>
            </w:r>
          </w:p>
        </w:tc>
      </w:tr>
      <w:tr>
        <w:tc>
          <w:tcPr>
            <w:tcW w:type="dxa" w:w="1881"/>
          </w:tcPr>
          <w:p>
            <w:r>
              <w:t>444</w:t>
            </w:r>
          </w:p>
        </w:tc>
        <w:tc>
          <w:tcPr>
            <w:tcW w:type="dxa" w:w="1881"/>
          </w:tcPr>
          <w:p>
            <w:r>
              <w:t>État — impôts et taxes (dettes)</w:t>
            </w:r>
          </w:p>
        </w:tc>
        <w:tc>
          <w:tcPr>
            <w:tcW w:type="dxa" w:w="1881"/>
          </w:tcPr>
          <w:p>
            <w:r>
              <w:t>-5,000,000 FDJ</w:t>
            </w:r>
          </w:p>
        </w:tc>
        <w:tc>
          <w:tcPr>
            <w:tcW w:type="dxa" w:w="1881"/>
          </w:tcPr>
          <w:p>
            <w:r>
              <w:t>0 FDJ</w:t>
            </w:r>
          </w:p>
        </w:tc>
        <w:tc>
          <w:tcPr>
            <w:tcW w:type="dxa" w:w="1881"/>
          </w:tcPr>
          <w:p>
            <w:r>
              <w:t>+100.0 %</w:t>
            </w:r>
          </w:p>
        </w:tc>
      </w:tr>
      <w:tr>
        <w:tc>
          <w:tcPr>
            <w:tcW w:type="dxa" w:w="1881"/>
          </w:tcPr>
          <w:p>
            <w:r>
              <w:t>44566</w:t>
            </w:r>
          </w:p>
        </w:tc>
        <w:tc>
          <w:tcPr>
            <w:tcW w:type="dxa" w:w="1881"/>
          </w:tcPr>
          <w:p>
            <w:r>
              <w:t>TVA déductible et autres créances fiscales</w:t>
            </w:r>
          </w:p>
        </w:tc>
        <w:tc>
          <w:tcPr>
            <w:tcW w:type="dxa" w:w="1881"/>
          </w:tcPr>
          <w:p>
            <w:r>
              <w:t>4,000,000 FDJ</w:t>
            </w:r>
          </w:p>
        </w:tc>
        <w:tc>
          <w:tcPr>
            <w:tcW w:type="dxa" w:w="1881"/>
          </w:tcPr>
          <w:p>
            <w:r>
              <w:t>0 FDJ</w:t>
            </w:r>
          </w:p>
        </w:tc>
        <w:tc>
          <w:tcPr>
            <w:tcW w:type="dxa" w:w="1881"/>
          </w:tcPr>
          <w:p>
            <w:r>
              <w:t>+100.0 %</w:t>
            </w:r>
          </w:p>
        </w:tc>
      </w:tr>
      <w:tr>
        <w:tc>
          <w:tcPr>
            <w:tcW w:type="dxa" w:w="1881"/>
          </w:tcPr>
          <w:p>
            <w:r>
              <w:t>46</w:t>
            </w:r>
          </w:p>
        </w:tc>
        <w:tc>
          <w:tcPr>
            <w:tcW w:type="dxa" w:w="1881"/>
          </w:tcPr>
          <w:p>
            <w:r>
              <w:t>Autres dettes</w:t>
            </w:r>
          </w:p>
        </w:tc>
        <w:tc>
          <w:tcPr>
            <w:tcW w:type="dxa" w:w="1881"/>
          </w:tcPr>
          <w:p>
            <w:r>
              <w:t>-4,000,000 FDJ</w:t>
            </w:r>
          </w:p>
        </w:tc>
        <w:tc>
          <w:tcPr>
            <w:tcW w:type="dxa" w:w="1881"/>
          </w:tcPr>
          <w:p>
            <w:r>
              <w:t>0 FDJ</w:t>
            </w:r>
          </w:p>
        </w:tc>
        <w:tc>
          <w:tcPr>
            <w:tcW w:type="dxa" w:w="1881"/>
          </w:tcPr>
          <w:p>
            <w:r>
              <w:t>+100.0 %</w:t>
            </w:r>
          </w:p>
        </w:tc>
      </w:tr>
      <w:tr>
        <w:tc>
          <w:tcPr>
            <w:tcW w:type="dxa" w:w="1881"/>
          </w:tcPr>
          <w:p>
            <w:r>
              <w:t>63</w:t>
            </w:r>
          </w:p>
        </w:tc>
        <w:tc>
          <w:tcPr>
            <w:tcW w:type="dxa" w:w="1881"/>
          </w:tcPr>
          <w:p>
            <w:r>
              <w:t>Impôts, taxes et versements assimilés</w:t>
            </w:r>
          </w:p>
        </w:tc>
        <w:tc>
          <w:tcPr>
            <w:tcW w:type="dxa" w:w="1881"/>
          </w:tcPr>
          <w:p>
            <w:r>
              <w:t>3,000,000 FDJ</w:t>
            </w:r>
          </w:p>
        </w:tc>
        <w:tc>
          <w:tcPr>
            <w:tcW w:type="dxa" w:w="1881"/>
          </w:tcPr>
          <w:p>
            <w:r>
              <w:t>0 FDJ</w:t>
            </w:r>
          </w:p>
        </w:tc>
        <w:tc>
          <w:tcPr>
            <w:tcW w:type="dxa" w:w="1881"/>
          </w:tcPr>
          <w:p>
            <w:r>
              <w:t>+100.0 %</w:t>
            </w:r>
          </w:p>
        </w:tc>
      </w:tr>
      <w:tr>
        <w:tc>
          <w:tcPr>
            <w:tcW w:type="dxa" w:w="1881"/>
          </w:tcPr>
          <w:p>
            <w:r>
              <w:t>661</w:t>
            </w:r>
          </w:p>
        </w:tc>
        <w:tc>
          <w:tcPr>
            <w:tcW w:type="dxa" w:w="1881"/>
          </w:tcPr>
          <w:p>
            <w:r>
              <w:t>Charges d'intérêts</w:t>
            </w:r>
          </w:p>
        </w:tc>
        <w:tc>
          <w:tcPr>
            <w:tcW w:type="dxa" w:w="1881"/>
          </w:tcPr>
          <w:p>
            <w:r>
              <w:t>2,500,000 FDJ</w:t>
            </w:r>
          </w:p>
        </w:tc>
        <w:tc>
          <w:tcPr>
            <w:tcW w:type="dxa" w:w="1881"/>
          </w:tcPr>
          <w:p>
            <w:r>
              <w:t>0 FDJ</w:t>
            </w:r>
          </w:p>
        </w:tc>
        <w:tc>
          <w:tcPr>
            <w:tcW w:type="dxa" w:w="1881"/>
          </w:tcPr>
          <w:p>
            <w:r>
              <w:t>+100.0 %</w:t>
            </w:r>
          </w:p>
        </w:tc>
      </w:tr>
      <w:tr>
        <w:tc>
          <w:tcPr>
            <w:tcW w:type="dxa" w:w="1881"/>
          </w:tcPr>
          <w:p>
            <w:r>
              <w:t>491</w:t>
            </w:r>
          </w:p>
        </w:tc>
        <w:tc>
          <w:tcPr>
            <w:tcW w:type="dxa" w:w="1881"/>
          </w:tcPr>
          <w:p>
            <w:r>
              <w:t>Dépréciation des comptes clients</w:t>
            </w:r>
          </w:p>
        </w:tc>
        <w:tc>
          <w:tcPr>
            <w:tcW w:type="dxa" w:w="1881"/>
          </w:tcPr>
          <w:p>
            <w:r>
              <w:t>-2,000,000 FDJ</w:t>
            </w:r>
          </w:p>
        </w:tc>
        <w:tc>
          <w:tcPr>
            <w:tcW w:type="dxa" w:w="1881"/>
          </w:tcPr>
          <w:p>
            <w:r>
              <w:t>0 FDJ</w:t>
            </w:r>
          </w:p>
        </w:tc>
        <w:tc>
          <w:tcPr>
            <w:tcW w:type="dxa" w:w="1881"/>
          </w:tcPr>
          <w:p>
            <w:r>
              <w:t>+100.0 %</w:t>
            </w:r>
          </w:p>
        </w:tc>
      </w:tr>
      <w:tr>
        <w:tc>
          <w:tcPr>
            <w:tcW w:type="dxa" w:w="1881"/>
          </w:tcPr>
          <w:p>
            <w:r>
              <w:t>6817</w:t>
            </w:r>
          </w:p>
        </w:tc>
        <w:tc>
          <w:tcPr>
            <w:tcW w:type="dxa" w:w="1881"/>
          </w:tcPr>
          <w:p>
            <w:r>
              <w:t>Dotations aux dépréciations des actifs circulants</w:t>
            </w:r>
          </w:p>
        </w:tc>
        <w:tc>
          <w:tcPr>
            <w:tcW w:type="dxa" w:w="1881"/>
          </w:tcPr>
          <w:p>
            <w:r>
              <w:t>2,000,000 FDJ</w:t>
            </w:r>
          </w:p>
        </w:tc>
        <w:tc>
          <w:tcPr>
            <w:tcW w:type="dxa" w:w="1881"/>
          </w:tcPr>
          <w:p>
            <w:r>
              <w:t>0 FDJ</w:t>
            </w:r>
          </w:p>
        </w:tc>
        <w:tc>
          <w:tcPr>
            <w:tcW w:type="dxa" w:w="1881"/>
          </w:tcPr>
          <w:p>
            <w:r>
              <w:t>+100.0 %</w:t>
            </w:r>
          </w:p>
        </w:tc>
      </w:tr>
      <w:tr>
        <w:tc>
          <w:tcPr>
            <w:tcW w:type="dxa" w:w="1881"/>
          </w:tcPr>
          <w:p>
            <w:r>
              <w:t>53</w:t>
            </w:r>
          </w:p>
        </w:tc>
        <w:tc>
          <w:tcPr>
            <w:tcW w:type="dxa" w:w="1881"/>
          </w:tcPr>
          <w:p>
            <w:r>
              <w:t>Caisse</w:t>
            </w:r>
          </w:p>
        </w:tc>
        <w:tc>
          <w:tcPr>
            <w:tcW w:type="dxa" w:w="1881"/>
          </w:tcPr>
          <w:p>
            <w:r>
              <w:t>1,000,000 FDJ</w:t>
            </w:r>
          </w:p>
        </w:tc>
        <w:tc>
          <w:tcPr>
            <w:tcW w:type="dxa" w:w="1881"/>
          </w:tcPr>
          <w:p>
            <w:r>
              <w:t>0 FDJ</w:t>
            </w:r>
          </w:p>
        </w:tc>
        <w:tc>
          <w:tcPr>
            <w:tcW w:type="dxa" w:w="1881"/>
          </w:tcPr>
          <w:p>
            <w:r>
              <w:t>+100.0 %</w:t>
            </w:r>
          </w:p>
        </w:tc>
      </w:tr>
      <w:tr>
        <w:tc>
          <w:tcPr>
            <w:tcW w:type="dxa" w:w="1881"/>
          </w:tcPr>
          <w:p>
            <w:r>
              <w:t>69</w:t>
            </w:r>
          </w:p>
        </w:tc>
        <w:tc>
          <w:tcPr>
            <w:tcW w:type="dxa" w:w="1881"/>
          </w:tcPr>
          <w:p>
            <w:r>
              <w:t>Impôts sur les bénéfices</w:t>
            </w:r>
          </w:p>
        </w:tc>
        <w:tc>
          <w:tcPr>
            <w:tcW w:type="dxa" w:w="1881"/>
          </w:tcPr>
          <w:p>
            <w:r>
              <w:t>500,000 FDJ</w:t>
            </w:r>
          </w:p>
        </w:tc>
        <w:tc>
          <w:tcPr>
            <w:tcW w:type="dxa" w:w="1881"/>
          </w:tcPr>
          <w:p>
            <w:r>
              <w:t>0 FDJ</w:t>
            </w:r>
          </w:p>
        </w:tc>
        <w:tc>
          <w:tcPr>
            <w:tcW w:type="dxa" w:w="1881"/>
          </w:tcPr>
          <w:p>
            <w:r>
              <w:t>+100.0 %</w:t>
            </w:r>
          </w:p>
        </w:tc>
      </w:tr>
    </w:tbl>
    <w:p/>
    <w:p>
      <w:pPr>
        <w:pStyle w:val="Heading2"/>
      </w:pPr>
      <w:r>
        <w:t>3.2 Interprétation</w:t>
      </w:r>
    </w:p>
    <w:p>
      <w:r>
        <w:rPr>
          <w:b w:val="0"/>
          <w:i w:val="0"/>
          <w:sz w:val="22"/>
        </w:rPr>
        <w:t>L'analyse comparative N/N-1 de la balance générale de l'exercice 2026 révèle que l'ensemble des soldes présentent une variation de 100 %, les soldes N-1 étant nuls pour tous les comptes examinés. Cette situation caractérise sans ambiguïté une entité en première année d'exploitation ou ayant fait l'objet d'une reprise d'activité, d'une fusion ou d'un apport partiel d'actif, rendant toute comparaison historique inopérante. Les cinq postes les plus significatifs en volume sont les ventes de marchandises (compte 707, 412 000 000), les achats de marchandises (compte 607, 300 000 000), les stocks de marchandises (compte 37, 62 000 000), les créances clients (compte 411, 58 000 000) et les dettes fournisseurs (compte 401, 48 000 000), qui structurent l'activité commerciale de négoce de meubles. Le niveau d'activité apparaît conséquent pour une SARL en première année, avec un chiffre d'affaires de 412 000 000, ce qui nécessite de valider la réalité économique de cette montée en charge immédiate. La marge brute apparente, calculée à partir des données reçues (ventes diminuées des achats nets de variation de stocks), appelle une revue approfondie de la politique de valorisation des stocks et de la reconnaissance du chiffre d'affaires. La structure financière, articulée autour d'un capital social de 30 000 000, de réserves de 20 000 000 et d'emprunts bancaires de 35 000 000, devra être mise en regard de l'intensité du besoin en fonds de roulement généré par l'activité. L'absence de tout solde N-1 impose de concentrer les travaux d'audit sur la justification des soldes d'ouverture et la revue des procédures de collecte des données comparatives.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Cycle / Compte</w:t>
            </w:r>
          </w:p>
        </w:tc>
        <w:tc>
          <w:tcPr>
            <w:tcW w:type="dxa" w:w="3135"/>
          </w:tcPr>
          <w:p>
            <w:r>
              <w:rPr>
                <w:b/>
              </w:rPr>
              <w:t>Niveau</w:t>
            </w:r>
          </w:p>
        </w:tc>
        <w:tc>
          <w:tcPr>
            <w:tcW w:type="dxa" w:w="3135"/>
          </w:tcPr>
          <w:p>
            <w:r>
              <w:rPr>
                <w:b/>
              </w:rPr>
              <w:t>Explication</w:t>
            </w:r>
          </w:p>
        </w:tc>
      </w:tr>
      <w:tr>
        <w:tc>
          <w:tcPr>
            <w:tcW w:type="dxa" w:w="3135"/>
          </w:tcPr>
          <w:p>
            <w:r>
              <w:t>Reconnaissance du chiffre d'affaires et exhaustivité des créances clients</w:t>
            </w:r>
          </w:p>
        </w:tc>
        <w:tc>
          <w:tcPr>
            <w:tcW w:type="dxa" w:w="3135"/>
          </w:tcPr>
          <w:p>
            <w:r>
              <w:t>eleve</w:t>
            </w:r>
          </w:p>
        </w:tc>
        <w:tc>
          <w:tcPr>
            <w:tcW w:type="dxa" w:w="3135"/>
          </w:tcPr>
          <w:p>
            <w:r>
              <w:t>Le chiffre d'affaires de 412 000 000 affiché dès la première année d'existence de la structure est atypique pour une SARL. Le risque de comptabilisation anticipée de produits (cut-off), de ventes fictives ou de retours non comptabilisés est élevé. La dépréciation clients de 2 000 000 sur un encours brut de 58 000 000 (soit ~3,4 %) doit être challengée au regard des délais de règlement effectifs et du risque de recouvrement.</w:t>
            </w:r>
          </w:p>
        </w:tc>
      </w:tr>
      <w:tr>
        <w:tc>
          <w:tcPr>
            <w:tcW w:type="dxa" w:w="3135"/>
          </w:tcPr>
          <w:p>
            <w:r>
              <w:t>Exhaustivité et valorisation des achats, des stocks et des dettes fournisseurs</w:t>
            </w:r>
          </w:p>
        </w:tc>
        <w:tc>
          <w:tcPr>
            <w:tcW w:type="dxa" w:w="3135"/>
          </w:tcPr>
          <w:p>
            <w:r>
              <w:t>eleve</w:t>
            </w:r>
          </w:p>
        </w:tc>
        <w:tc>
          <w:tcPr>
            <w:tcW w:type="dxa" w:w="3135"/>
          </w:tcPr>
          <w:p>
            <w:r>
              <w:t>Le ratio achats/ventes brutes s'établit autour de 73 %, cohérent avec le secteur du meuble mais à corroborer par des comparatifs sectoriels. Le stock de 62 000 000 représente un enjeu d'inventaire physique et de valorisation (méthode FIFO ou CMUP). La variation de stocks créditrice de -7 000 000 (compte 6037) doit être réconciliée arithmétiquement avec les mouvements du compte 37. Les dettes fournisseurs de 48 000 000 doivent faire l'objet d'une circularisation et d'une revue des charges à payer non comptabilisées.</w:t>
            </w:r>
          </w:p>
        </w:tc>
      </w:tr>
      <w:tr>
        <w:tc>
          <w:tcPr>
            <w:tcW w:type="dxa" w:w="3135"/>
          </w:tcPr>
          <w:p>
            <w:r>
              <w:t>Justification des soldes d'ouverture et continuité des données comparatives</w:t>
            </w:r>
          </w:p>
        </w:tc>
        <w:tc>
          <w:tcPr>
            <w:tcW w:type="dxa" w:w="3135"/>
          </w:tcPr>
          <w:p>
            <w:r>
              <w:t>eleve</w:t>
            </w:r>
          </w:p>
        </w:tc>
        <w:tc>
          <w:tcPr>
            <w:tcW w:type="dxa" w:w="3135"/>
          </w:tcPr>
          <w:p>
            <w:r>
              <w:t>L'absence totale de soldes N-1 constitue en soi un risque transversal majeur : soit l'entité est effectivement créée en 2026 (à confirmer par les documents constitutifs), soit les données N-1 n'ont pas été correctement chargées dans le système comptable ou transmises à l'équipe d'audit. Dans ce dernier cas, le risque de retraitement incomplet ou d'absence de permanence des méthodes est significatif. Une lettre d'affirmation spécifique sur ce point est recommandée.</w:t>
            </w:r>
          </w:p>
        </w:tc>
      </w:tr>
      <w:tr>
        <w:tc>
          <w:tcPr>
            <w:tcW w:type="dxa" w:w="3135"/>
          </w:tcPr>
          <w:p>
            <w:r>
              <w:t>Immobilisations corporelles, amortissements et cohérence des dotations</w:t>
            </w:r>
          </w:p>
        </w:tc>
        <w:tc>
          <w:tcPr>
            <w:tcW w:type="dxa" w:w="3135"/>
          </w:tcPr>
          <w:p>
            <w:r>
              <w:t>moyen</w:t>
            </w:r>
          </w:p>
        </w:tc>
        <w:tc>
          <w:tcPr>
            <w:tcW w:type="dxa" w:w="3135"/>
          </w:tcPr>
          <w:p>
            <w:r>
              <w:t>Les immobilisations corporelles (comptes 215 et 218 totalisant 45 000 000) sont amorties à hauteur de 18 000 000, soit un taux d'amortissement apparent de 40 %, élevé pour une première année d'exploitation et pouvant indiquer une reprise d'actifs anciens ou l'application de durées d'amortissement très courtes. Les dotations aux amortissements de l'exercice (6 000 000, compte 681) doivent être réconciliées avec le tableau des immobilisations et le plan d'amortissement.</w:t>
            </w:r>
          </w:p>
        </w:tc>
      </w:tr>
      <w:tr>
        <w:tc>
          <w:tcPr>
            <w:tcW w:type="dxa" w:w="3135"/>
          </w:tcPr>
          <w:p>
            <w:r>
              <w:t>Fiscalité et charges sociales — complétude des passifs</w:t>
            </w:r>
          </w:p>
        </w:tc>
        <w:tc>
          <w:tcPr>
            <w:tcW w:type="dxa" w:w="3135"/>
          </w:tcPr>
          <w:p>
            <w:r>
              <w:t>moyen</w:t>
            </w:r>
          </w:p>
        </w:tc>
        <w:tc>
          <w:tcPr>
            <w:tcW w:type="dxa" w:w="3135"/>
          </w:tcPr>
          <w:p>
            <w:r>
              <w:t>Les dettes sociales (comptes 42/43, 7 000 000) et fiscales (compte 444, 5 000 000) paraissent modestes au regard de la masse salariale enregistrée (38 000 000) et du niveau d'activité. Un risque de sous-comptabilisation des charges à payer en matière sociale et fiscale est identifié. La TVA déductible résiduelle (4 000 000, compte 44566) doit être justifiée et rapprochée des déclarations déposées.</w:t>
            </w:r>
          </w:p>
        </w:tc>
      </w:tr>
      <w:tr>
        <w:tc>
          <w:tcPr>
            <w:tcW w:type="dxa" w:w="3135"/>
          </w:tcPr>
          <w:p>
            <w:r>
              <w:t>Cohérence de la position de trésorerie au regard des flux d'activité</w:t>
            </w:r>
          </w:p>
        </w:tc>
        <w:tc>
          <w:tcPr>
            <w:tcW w:type="dxa" w:w="3135"/>
          </w:tcPr>
          <w:p>
            <w:r>
              <w:t>faible</w:t>
            </w:r>
          </w:p>
        </w:tc>
        <w:tc>
          <w:tcPr>
            <w:tcW w:type="dxa" w:w="3135"/>
          </w:tcPr>
          <w:p>
            <w:r>
              <w:t>La trésorerie disponible (banque 21 000 000, caisse 1 000 000) est à rapprocher des relevés bancaires et du tableau de flux de trésorerie. Son niveau apparaît raisonnable au regard du BFR apparent, mais la trésorerie caisse de 1 000 000 mérite une attention particulière dans un contexte de négoce de meubles où les règlements en espèces devraient être marginaux.</w:t>
            </w:r>
          </w:p>
        </w:tc>
      </w:tr>
    </w:tbl>
    <w:p/>
    <w:p>
      <w:r>
        <w:rPr>
          <w:b w:val="0"/>
          <w:i w:val="0"/>
          <w:sz w:val="22"/>
        </w:rPr>
        <w:t>Facteurs contextuels : Le secteur de la vente de meubles est caractérisé par des cycles d'exploitation relativement longs, des stocks importants et des niveaux de marge brute généralement compris entre 25 % et 40 %, ce qui rend le ratio achats/ventes observé plausible mais à confirmer. La création d'une SARL dédiée au négoce de meubles avec un capital de 30 000 000 complété par des réserves de 20 000 000 dès la première année pourrait s'expliquer par un apport d'une activité préexistante, une scission ou une reprise de fonds de commerce, ce qui justifierait à la fois l'absence de comparatif N-1 et le niveau d'activité immédiatement élevé. En l'absence de contexte macro-économique précis pour 2026, il convient de vérifier si des facteurs sectoriels spécifiques (tensions sur les approvisionnements, évolution de la demande en mobilier) sont susceptibles d'influencer la valorisation des stocks ou les délais clients.</w:t>
      </w:r>
    </w:p>
    <w:p>
      <w:pPr>
        <w:pStyle w:val="Heading2"/>
      </w:pPr>
      <w:r>
        <w:t>Points d'attention</w:t>
      </w:r>
    </w:p>
    <w:p>
      <w:pPr>
        <w:pStyle w:val="ListBullet"/>
      </w:pPr>
      <w:r>
        <w:t>INCOHÉRENCE POTENTIELLE — Variation de stocks (compte 6037) : le solde créditeur de -7 000 000 implique que le stock final (62 000 000) est supérieur au stock initial (0 en N-1), ce qui est arithmétiquement cohérent (stock initial nul + achats - coût des ventes = stock final), mais la valeur de la variation doit être strictement réconciliée avec la différence entre le stock final comptabilisé au compte 37 (62 000 000) et le stock initial (0), soit une variation attendue de -62 000 000 en compte de résultat et non de -7 000 000. Un écart de 55 000 000 entre la variation de stocks inscrite au compte 6037 et la variation du bilan de stocks est un signal d'anomalie significative à investiguer en priorité.</w:t>
      </w:r>
    </w:p>
    <w:p>
      <w:pPr>
        <w:pStyle w:val="ListBullet"/>
      </w:pPr>
      <w:r>
        <w:t>INCOHÉRENCE — Amortissements cumulés disproportionnés dès la première année : les amortissements cumulés inscrits au compte 281 s'élèvent à 18 000 000 pour des immobilisations corporelles brutes de 45 000 000, soit un taux d'amortissement cumulé de 40 % dès N=1. Si l'entité est en première année d'exploitation, les dotations de l'exercice (compte 681, 6 000 000) ne peuvent pas expliquer à elles seules ce niveau d'amortissement cumulé, ce qui suggère soit une reprise d'actifs partiellement amortis, soit une erreur d'affectation entre amortissements cumulés et dotations de l'exercice.</w:t>
      </w:r>
    </w:p>
    <w:p>
      <w:pPr>
        <w:pStyle w:val="ListBullet"/>
      </w:pPr>
      <w:r>
        <w:t>ALERTE — Niveau de capital et de réserves en première année : la présence simultanée d'un capital social (101) de 30 000 000 et de réserves (106) de 20 000 000 dès la première année d'existence supposée est incompatible avec une création ex nihilo, les réserves ne pouvant être constituées qu'à partir d'exercices bénéficiaires antérieurs. Cela confirme la nécessité d'obtenir les documents juridiques de constitution ou de restructuration pour valider l'origine de ces capitaux propres.</w:t>
      </w:r>
    </w:p>
    <w:p>
      <w:pPr>
        <w:pStyle w:val="ListBullet"/>
      </w:pPr>
      <w:r>
        <w:t>ALERTE — Impôt sur les bénéfices (compte 69, 500 000) manifestement sous-évalué : au regard du niveau de résultat apparent (chiffre d'affaires de 412 000 000 diminué de l'ensemble des charges), la charge d'impôt de 500 000 paraît très faible et pourrait indiquer une erreur de comptabilisation, un report de déficit non documenté ou l'absence de prise en compte d'un complément d'impôt. Une revue du calcul de la provision pour impôt et du passage du résultat comptable au résultat fiscal est indispensable.</w:t>
      </w:r>
    </w:p>
    <w:p>
      <w:pPr>
        <w:pStyle w:val="ListBullet"/>
      </w:pPr>
      <w:r>
        <w:t>POINT D'ATTENTION — Absence totale de produits ou charges exceptionnels et de compte de résultat financier significatif : pour une entité réalisant 412 000 000 de chiffre d'affaires et disposant de 35 000 000 d'emprunts bancaires, les seules charges financières enregistrées sont les intérêts de 2 500 000 (compte 661). L'absence de tout autre produit ou charge financier (escomptes, différences de change, produits de placements) mérite d'être confirmée lors de la revue analytique approfondie.</w:t>
      </w:r>
    </w:p>
    <w:p>
      <w:r>
        <w:br w:type="page"/>
      </w:r>
    </w:p>
    <w:p>
      <w:pPr>
        <w:pStyle w:val="Heading1"/>
      </w:pPr>
      <w:r>
        <w:rPr>
          <w:color w:val="4F46E5"/>
        </w:rPr>
        <w:t>4. Seuil de signification (NEP 320)</w:t>
      </w:r>
    </w:p>
    <w:p>
      <w:pPr>
        <w:pStyle w:val="Heading2"/>
      </w:pPr>
      <w:r>
        <w:t>4.1 Base de calcul et paramètres retenus</w:t>
      </w:r>
    </w:p>
    <w:p>
      <w:r>
        <w:rPr>
          <w:b/>
          <w:sz w:val="22"/>
        </w:rPr>
        <w:t xml:space="preserve">Agrégat retenu : </w:t>
      </w:r>
      <w:r>
        <w:rPr>
          <w:sz w:val="22"/>
        </w:rPr>
        <w:t>total_bilan</w:t>
      </w:r>
      <w:r>
        <w:br/>
      </w:r>
      <w:r>
        <w:rPr>
          <w:b/>
          <w:sz w:val="22"/>
        </w:rPr>
        <w:t xml:space="preserve">Valeur de l'agrégat : </w:t>
      </w:r>
      <w:r>
        <w:rPr>
          <w:sz w:val="22"/>
        </w:rPr>
        <w:t>588,000,000 FDJ</w:t>
      </w:r>
      <w:r>
        <w:br/>
      </w:r>
      <w:r>
        <w:rPr>
          <w:b/>
          <w:sz w:val="22"/>
        </w:rPr>
        <w:t xml:space="preserve">Taux de signification : </w:t>
      </w:r>
      <w:r>
        <w:rPr>
          <w:sz w:val="22"/>
        </w:rPr>
        <w:t>0.01 %</w:t>
      </w:r>
      <w:r>
        <w:br/>
      </w:r>
      <w:r>
        <w:rPr>
          <w:b/>
          <w:sz w:val="22"/>
        </w:rPr>
        <w:t xml:space="preserve">Taux de planification : </w:t>
      </w:r>
      <w:r>
        <w:rPr>
          <w:sz w:val="22"/>
        </w:rPr>
        <w:t>0.75 %</w:t>
      </w:r>
      <w:r>
        <w:br/>
      </w:r>
      <w:r>
        <w:rPr>
          <w:b/>
          <w:sz w:val="22"/>
        </w:rPr>
        <w:t xml:space="preserve">Seuil de signification : </w:t>
      </w:r>
      <w:r>
        <w:rPr>
          <w:sz w:val="22"/>
        </w:rPr>
        <w:t>5,880,000 FDJ</w:t>
      </w:r>
      <w:r>
        <w:br/>
      </w:r>
      <w:r>
        <w:rPr>
          <w:b/>
          <w:sz w:val="22"/>
        </w:rPr>
        <w:t xml:space="preserve">Seuil de planification : </w:t>
      </w:r>
      <w:r>
        <w:rPr>
          <w:sz w:val="22"/>
        </w:rPr>
        <w:t>4,410,000 FDJ</w:t>
      </w:r>
      <w:r>
        <w:br/>
      </w:r>
    </w:p>
    <w:p>
      <w:pPr>
        <w:pStyle w:val="Heading2"/>
      </w:pPr>
      <w:r>
        <w:t>4.2 Justification du seuil retenu</w:t>
      </w:r>
    </w:p>
    <w:p>
      <w:r>
        <w:rPr>
          <w:b w:val="0"/>
          <w:i w:val="0"/>
          <w:sz w:val="22"/>
        </w:rPr>
        <w:t>Le seuil de signification de 5,880,000 FDJ (0.01 % de total_bilan) est celui en deçà duquel une anomalie est considérée comme non significative et n'affecte pas l'opinion d'audit. Le seuil de planification de 4,410,000 FDJ (0.75 %) est appliqué pour les tests de détail afin de conserver une marge de sécurité permettant d'absorber les anomalies non détectées. Ces paramètres sont conformes aux pratiques professionnelles et aux exigences de la NEP 320.</w:t>
      </w:r>
    </w:p>
    <w:p>
      <w:r>
        <w:br w:type="page"/>
      </w:r>
    </w:p>
    <w:p>
      <w:pPr>
        <w:pStyle w:val="Heading1"/>
      </w:pPr>
      <w:r>
        <w:rPr>
          <w:color w:val="4F46E5"/>
        </w:rPr>
        <w:t>5. Cartographie des risques (NEP 315)</w:t>
      </w:r>
    </w:p>
    <w:p>
      <w:r>
        <w:rPr>
          <w:b w:val="0"/>
          <w:i w:val="0"/>
          <w:sz w:val="22"/>
        </w:rPr>
        <w:t>12 risque(s) identifié(s) et validé(s) pour cette mission.</w:t>
      </w:r>
    </w:p>
    <w:p>
      <w:r>
        <w:rPr>
          <w:b w:val="0"/>
          <w:i w:val="0"/>
          <w:sz w:val="22"/>
        </w:rPr>
        <w:t>Dont : 6 élevé(s), 4 moyen(s), 2 faible(s).</w:t>
      </w:r>
    </w:p>
    <w:p/>
    <w:p>
      <w:pPr>
        <w:pStyle w:val="Heading2"/>
      </w:pPr>
      <w:r>
        <w:t>Cycle : Achats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Valorisation et existence physique des stocks de marchandises</w:t>
            </w:r>
          </w:p>
        </w:tc>
        <w:tc>
          <w:tcPr>
            <w:tcW w:type="dxa" w:w="1881"/>
          </w:tcPr>
          <w:p>
            <w:r>
              <w:t>ÉLEVÉ</w:t>
            </w:r>
          </w:p>
        </w:tc>
        <w:tc>
          <w:tcPr>
            <w:tcW w:type="dxa" w:w="1881"/>
          </w:tcPr>
          <w:p>
            <w:r>
              <w:t>IA</w:t>
            </w:r>
          </w:p>
        </w:tc>
        <w:tc>
          <w:tcPr>
            <w:tcW w:type="dxa" w:w="1881"/>
          </w:tcPr>
          <w:p>
            <w:r>
              <w:t>existence, evaluation</w:t>
            </w:r>
          </w:p>
        </w:tc>
        <w:tc>
          <w:tcPr>
            <w:tcW w:type="dxa" w:w="1881"/>
          </w:tcPr>
          <w:p>
            <w:r/>
          </w:p>
        </w:tc>
      </w:tr>
      <w:tr>
        <w:tc>
          <w:tcPr>
            <w:tcW w:type="dxa" w:w="1881"/>
          </w:tcPr>
          <w:p>
            <w:r>
              <w:t>Cohérence de la variation de stocks avec les mouvements comptables</w:t>
            </w:r>
          </w:p>
        </w:tc>
        <w:tc>
          <w:tcPr>
            <w:tcW w:type="dxa" w:w="1881"/>
          </w:tcPr>
          <w:p>
            <w:r>
              <w:t>ÉLEVÉ</w:t>
            </w:r>
          </w:p>
        </w:tc>
        <w:tc>
          <w:tcPr>
            <w:tcW w:type="dxa" w:w="1881"/>
          </w:tcPr>
          <w:p>
            <w:r>
              <w:t>IA</w:t>
            </w:r>
          </w:p>
        </w:tc>
        <w:tc>
          <w:tcPr>
            <w:tcW w:type="dxa" w:w="1881"/>
          </w:tcPr>
          <w:p>
            <w:r>
              <w:t>exhaustivite, evaluation, cut_off</w:t>
            </w:r>
          </w:p>
        </w:tc>
        <w:tc>
          <w:tcPr>
            <w:tcW w:type="dxa" w:w="1881"/>
          </w:tcPr>
          <w:p>
            <w:r/>
          </w:p>
        </w:tc>
      </w:tr>
      <w:tr>
        <w:tc>
          <w:tcPr>
            <w:tcW w:type="dxa" w:w="1881"/>
          </w:tcPr>
          <w:p>
            <w:r>
              <w:t>Exhaustivité des dettes fournisseurs et charges à payer</w:t>
            </w:r>
          </w:p>
        </w:tc>
        <w:tc>
          <w:tcPr>
            <w:tcW w:type="dxa" w:w="1881"/>
          </w:tcPr>
          <w:p>
            <w:r>
              <w:t>ÉLEVÉ</w:t>
            </w:r>
          </w:p>
        </w:tc>
        <w:tc>
          <w:tcPr>
            <w:tcW w:type="dxa" w:w="1881"/>
          </w:tcPr>
          <w:p>
            <w:r>
              <w:t>IA</w:t>
            </w:r>
          </w:p>
        </w:tc>
        <w:tc>
          <w:tcPr>
            <w:tcW w:type="dxa" w:w="1881"/>
          </w:tcPr>
          <w:p>
            <w:r>
              <w:t>exhaustivite, cut_off, evaluation</w:t>
            </w:r>
          </w:p>
        </w:tc>
        <w:tc>
          <w:tcPr>
            <w:tcW w:type="dxa" w:w="1881"/>
          </w:tcPr>
          <w:p>
            <w:r/>
          </w:p>
        </w:tc>
      </w:tr>
    </w:tbl>
    <w:p/>
    <w:p>
      <w:pPr>
        <w:pStyle w:val="Heading2"/>
      </w:pPr>
      <w:r>
        <w:t>Cycle : Transversal</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Sous-comptabilisation des dettes sociales et fiscales</w:t>
            </w:r>
          </w:p>
        </w:tc>
        <w:tc>
          <w:tcPr>
            <w:tcW w:type="dxa" w:w="1881"/>
          </w:tcPr>
          <w:p>
            <w:r>
              <w:t>MOYEN</w:t>
            </w:r>
          </w:p>
        </w:tc>
        <w:tc>
          <w:tcPr>
            <w:tcW w:type="dxa" w:w="1881"/>
          </w:tcPr>
          <w:p>
            <w:r>
              <w:t>IA</w:t>
            </w:r>
          </w:p>
        </w:tc>
        <w:tc>
          <w:tcPr>
            <w:tcW w:type="dxa" w:w="1881"/>
          </w:tcPr>
          <w:p>
            <w:r>
              <w:t>exhaustivite, evaluation</w:t>
            </w:r>
          </w:p>
        </w:tc>
        <w:tc>
          <w:tcPr>
            <w:tcW w:type="dxa" w:w="1881"/>
          </w:tcPr>
          <w:p>
            <w:r/>
          </w:p>
        </w:tc>
      </w:tr>
      <w:tr>
        <w:tc>
          <w:tcPr>
            <w:tcW w:type="dxa" w:w="1881"/>
          </w:tcPr>
          <w:p>
            <w:r>
              <w:t>Cohérence des amortissements avec le plan et la nature des actifs</w:t>
            </w:r>
          </w:p>
        </w:tc>
        <w:tc>
          <w:tcPr>
            <w:tcW w:type="dxa" w:w="1881"/>
          </w:tcPr>
          <w:p>
            <w:r>
              <w:t>MOYEN</w:t>
            </w:r>
          </w:p>
        </w:tc>
        <w:tc>
          <w:tcPr>
            <w:tcW w:type="dxa" w:w="1881"/>
          </w:tcPr>
          <w:p>
            <w:r>
              <w:t>IA</w:t>
            </w:r>
          </w:p>
        </w:tc>
        <w:tc>
          <w:tcPr>
            <w:tcW w:type="dxa" w:w="1881"/>
          </w:tcPr>
          <w:p>
            <w:r>
              <w:t>evaluation, presentation</w:t>
            </w:r>
          </w:p>
        </w:tc>
        <w:tc>
          <w:tcPr>
            <w:tcW w:type="dxa" w:w="1881"/>
          </w:tcPr>
          <w:p>
            <w:r/>
          </w:p>
        </w:tc>
      </w:tr>
      <w:tr>
        <w:tc>
          <w:tcPr>
            <w:tcW w:type="dxa" w:w="1881"/>
          </w:tcPr>
          <w:p>
            <w:r>
              <w:t>Absence de soldes d'ouverture et permanence des méthodes</w:t>
            </w:r>
          </w:p>
        </w:tc>
        <w:tc>
          <w:tcPr>
            <w:tcW w:type="dxa" w:w="1881"/>
          </w:tcPr>
          <w:p>
            <w:r>
              <w:t>ÉLEVÉ</w:t>
            </w:r>
          </w:p>
        </w:tc>
        <w:tc>
          <w:tcPr>
            <w:tcW w:type="dxa" w:w="1881"/>
          </w:tcPr>
          <w:p>
            <w:r>
              <w:t>IA</w:t>
            </w:r>
          </w:p>
        </w:tc>
        <w:tc>
          <w:tcPr>
            <w:tcW w:type="dxa" w:w="1881"/>
          </w:tcPr>
          <w:p>
            <w:r>
              <w:t>presentation, evaluation</w:t>
            </w:r>
          </w:p>
        </w:tc>
        <w:tc>
          <w:tcPr>
            <w:tcW w:type="dxa" w:w="1881"/>
          </w:tcPr>
          <w:p>
            <w:r/>
          </w:p>
        </w:tc>
      </w:tr>
      <w:tr>
        <w:tc>
          <w:tcPr>
            <w:tcW w:type="dxa" w:w="1881"/>
          </w:tcPr>
          <w:p>
            <w:r>
              <w:t>Risque lié à la taille réduite de l'effectif et séparation des tâches</w:t>
            </w:r>
          </w:p>
        </w:tc>
        <w:tc>
          <w:tcPr>
            <w:tcW w:type="dxa" w:w="1881"/>
          </w:tcPr>
          <w:p>
            <w:r>
              <w:t>MOYEN</w:t>
            </w:r>
          </w:p>
        </w:tc>
        <w:tc>
          <w:tcPr>
            <w:tcW w:type="dxa" w:w="1881"/>
          </w:tcPr>
          <w:p>
            <w:r>
              <w:t>IA</w:t>
            </w:r>
          </w:p>
        </w:tc>
        <w:tc>
          <w:tcPr>
            <w:tcW w:type="dxa" w:w="1881"/>
          </w:tcPr>
          <w:p>
            <w:r>
              <w:t>existence, exhaustivite</w:t>
            </w:r>
          </w:p>
        </w:tc>
        <w:tc>
          <w:tcPr>
            <w:tcW w:type="dxa" w:w="1881"/>
          </w:tcPr>
          <w:p>
            <w:r/>
          </w:p>
        </w:tc>
      </w:tr>
    </w:tbl>
    <w:p/>
    <w:p>
      <w:pPr>
        <w:pStyle w:val="Heading2"/>
      </w:pPr>
      <w:r>
        <w:t>Cycle : Tresorerie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Justification de la trésorerie caisse au regard de l'activité</w:t>
            </w:r>
          </w:p>
        </w:tc>
        <w:tc>
          <w:tcPr>
            <w:tcW w:type="dxa" w:w="1881"/>
          </w:tcPr>
          <w:p>
            <w:r>
              <w:t>FAIBLE</w:t>
            </w:r>
          </w:p>
        </w:tc>
        <w:tc>
          <w:tcPr>
            <w:tcW w:type="dxa" w:w="1881"/>
          </w:tcPr>
          <w:p>
            <w:r>
              <w:t>IA</w:t>
            </w:r>
          </w:p>
        </w:tc>
        <w:tc>
          <w:tcPr>
            <w:tcW w:type="dxa" w:w="1881"/>
          </w:tcPr>
          <w:p>
            <w:r>
              <w:t>existence, evaluation</w:t>
            </w:r>
          </w:p>
        </w:tc>
        <w:tc>
          <w:tcPr>
            <w:tcW w:type="dxa" w:w="1881"/>
          </w:tcPr>
          <w:p>
            <w:r/>
          </w:p>
        </w:tc>
      </w:tr>
      <w:tr>
        <w:tc>
          <w:tcPr>
            <w:tcW w:type="dxa" w:w="1881"/>
          </w:tcPr>
          <w:p>
            <w:r>
              <w:t>Rapprochement des soldes bancaires avec les relevés officiels</w:t>
            </w:r>
          </w:p>
        </w:tc>
        <w:tc>
          <w:tcPr>
            <w:tcW w:type="dxa" w:w="1881"/>
          </w:tcPr>
          <w:p>
            <w:r>
              <w:t>FAIBLE</w:t>
            </w:r>
          </w:p>
        </w:tc>
        <w:tc>
          <w:tcPr>
            <w:tcW w:type="dxa" w:w="1881"/>
          </w:tcPr>
          <w:p>
            <w:r>
              <w:t>IA</w:t>
            </w:r>
          </w:p>
        </w:tc>
        <w:tc>
          <w:tcPr>
            <w:tcW w:type="dxa" w:w="1881"/>
          </w:tcPr>
          <w:p>
            <w:r>
              <w:t>existence, exhaustivite</w:t>
            </w:r>
          </w:p>
        </w:tc>
        <w:tc>
          <w:tcPr>
            <w:tcW w:type="dxa" w:w="1881"/>
          </w:tcPr>
          <w:p>
            <w:r/>
          </w:p>
        </w:tc>
      </w:tr>
    </w:tbl>
    <w:p/>
    <w:p>
      <w:pPr>
        <w:pStyle w:val="Heading2"/>
      </w:pPr>
      <w:r>
        <w:t>Cycle : Ventes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Reconnaissance anticipée ou fictive du chiffre d'affaires</w:t>
            </w:r>
          </w:p>
        </w:tc>
        <w:tc>
          <w:tcPr>
            <w:tcW w:type="dxa" w:w="1881"/>
          </w:tcPr>
          <w:p>
            <w:r>
              <w:t>ÉLEVÉ</w:t>
            </w:r>
          </w:p>
        </w:tc>
        <w:tc>
          <w:tcPr>
            <w:tcW w:type="dxa" w:w="1881"/>
          </w:tcPr>
          <w:p>
            <w:r>
              <w:t>IA</w:t>
            </w:r>
          </w:p>
        </w:tc>
        <w:tc>
          <w:tcPr>
            <w:tcW w:type="dxa" w:w="1881"/>
          </w:tcPr>
          <w:p>
            <w:r>
              <w:t>existence, cut_off, exhaustivite</w:t>
            </w:r>
          </w:p>
        </w:tc>
        <w:tc>
          <w:tcPr>
            <w:tcW w:type="dxa" w:w="1881"/>
          </w:tcPr>
          <w:p>
            <w:r/>
          </w:p>
        </w:tc>
      </w:tr>
      <w:tr>
        <w:tc>
          <w:tcPr>
            <w:tcW w:type="dxa" w:w="1881"/>
          </w:tcPr>
          <w:p>
            <w:r>
              <w:t>Insuffisance de la dépréciation des créances clients</w:t>
            </w:r>
          </w:p>
        </w:tc>
        <w:tc>
          <w:tcPr>
            <w:tcW w:type="dxa" w:w="1881"/>
          </w:tcPr>
          <w:p>
            <w:r>
              <w:t>ÉLEVÉ</w:t>
            </w:r>
          </w:p>
        </w:tc>
        <w:tc>
          <w:tcPr>
            <w:tcW w:type="dxa" w:w="1881"/>
          </w:tcPr>
          <w:p>
            <w:r>
              <w:t>IA</w:t>
            </w:r>
          </w:p>
        </w:tc>
        <w:tc>
          <w:tcPr>
            <w:tcW w:type="dxa" w:w="1881"/>
          </w:tcPr>
          <w:p>
            <w:r>
              <w:t>evaluation, exhaustivite</w:t>
            </w:r>
          </w:p>
        </w:tc>
        <w:tc>
          <w:tcPr>
            <w:tcW w:type="dxa" w:w="1881"/>
          </w:tcPr>
          <w:p>
            <w:r/>
          </w:p>
        </w:tc>
      </w:tr>
      <w:tr>
        <w:tc>
          <w:tcPr>
            <w:tcW w:type="dxa" w:w="1881"/>
          </w:tcPr>
          <w:p>
            <w:r>
              <w:t>Retours sur ventes non comptabilisés ou incomplets</w:t>
            </w:r>
          </w:p>
        </w:tc>
        <w:tc>
          <w:tcPr>
            <w:tcW w:type="dxa" w:w="1881"/>
          </w:tcPr>
          <w:p>
            <w:r>
              <w:t>MOYEN</w:t>
            </w:r>
          </w:p>
        </w:tc>
        <w:tc>
          <w:tcPr>
            <w:tcW w:type="dxa" w:w="1881"/>
          </w:tcPr>
          <w:p>
            <w:r>
              <w:t>IA</w:t>
            </w:r>
          </w:p>
        </w:tc>
        <w:tc>
          <w:tcPr>
            <w:tcW w:type="dxa" w:w="1881"/>
          </w:tcPr>
          <w:p>
            <w:r>
              <w:t>exhaustivite, cut_off</w:t>
            </w:r>
          </w:p>
        </w:tc>
        <w:tc>
          <w:tcPr>
            <w:tcW w:type="dxa" w:w="1881"/>
          </w:tcPr>
          <w:p>
            <w:r/>
          </w:p>
        </w:tc>
      </w:tr>
    </w:tbl>
    <w:p/>
    <w:p>
      <w:r>
        <w:br w:type="page"/>
      </w:r>
    </w:p>
    <w:p>
      <w:pPr>
        <w:pStyle w:val="Heading1"/>
      </w:pPr>
      <w:r>
        <w:rPr>
          <w:color w:val="4F46E5"/>
        </w:rPr>
        <w:t>6. Programme de travail (NEP 300 / NEP 330)</w:t>
      </w:r>
    </w:p>
    <w:p>
      <w:r>
        <w:rPr>
          <w:b w:val="0"/>
          <w:i w:val="0"/>
          <w:sz w:val="22"/>
        </w:rPr>
        <w:t>0 contrôle(s) inclus dans le programme sur 0 planifiés. 0 contrôle(s) exclu(s) sur la base du niveau de risque et du seuil de signification.</w:t>
      </w:r>
    </w:p>
    <w:p>
      <w:r>
        <w:br w:type="page"/>
      </w:r>
    </w:p>
    <w:p>
      <w:pPr>
        <w:pStyle w:val="Heading1"/>
      </w:pPr>
      <w:r>
        <w:rPr>
          <w:color w:val="4F46E5"/>
        </w:rPr>
        <w:t>7. Synthèse et conclusion</w:t>
      </w:r>
    </w:p>
    <w:p>
      <w:r>
        <w:rPr>
          <w:b/>
          <w:i w:val="0"/>
          <w:sz w:val="22"/>
        </w:rPr>
        <w:t>Note de synthèse</w:t>
      </w:r>
    </w:p>
    <w:p/>
    <w:p/>
    <w:p>
      <w:pPr>
        <w:spacing w:after="0"/>
      </w:pPr>
      <w:r>
        <w:rPr>
          <w:sz w:val="16"/>
        </w:rPr>
        <w:t>────────────────────────────────────────────────────────────────────────────────</w:t>
      </w:r>
    </w:p>
    <w:p/>
    <w:p>
      <w:r>
        <w:rPr>
          <w:b/>
        </w:rPr>
        <w:t>Validation par l'auditeur responsable de la mission</w:t>
        <w:br/>
        <w:br/>
      </w:r>
      <w:r>
        <w:t xml:space="preserve">Nom : ___________________________          </w:t>
      </w:r>
      <w:r>
        <w:t>Date : ___________________________</w:t>
        <w:br/>
        <w:br/>
      </w:r>
      <w:r>
        <w:t>Signature : ___________________________</w:t>
      </w:r>
    </w:p>
    <w:p/>
    <w:p>
      <w:pPr>
        <w:spacing w:after="0"/>
      </w:pPr>
      <w:r>
        <w:rPr>
          <w:sz w:val="16"/>
        </w:rPr>
        <w:t>────────────────────────────────────────────────────────────────────────────────</w:t>
      </w:r>
    </w:p>
    <w:p>
      <w:pPr>
        <w:jc w:val="center"/>
      </w:pPr>
      <w:r>
        <w:rPr>
          <w:i/>
          <w:sz w:val="18"/>
        </w:rPr>
        <w:t>Document généré par Probare le 25/06/2026 07:59 UTC · Document confidentiel · Dossier de travail NEP 230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