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3B82F6"/>
          <w:sz w:val="16"/>
        </w:rPr>
        <w:t>LOGICIEL D'AUDIT — NOTE DE PRÉSENTATION</w:t>
      </w:r>
    </w:p>
    <w:p>
      <w:pPr>
        <w:spacing w:before="400"/>
      </w:pPr>
      <w:r>
        <w:rPr>
          <w:b/>
          <w:i w:val="0"/>
          <w:color w:val="0F1724"/>
          <w:sz w:val="96"/>
        </w:rPr>
        <w:t>pro</w:t>
      </w:r>
      <w:r>
        <w:rPr>
          <w:b/>
          <w:i w:val="0"/>
          <w:color w:val="3B82F6"/>
          <w:sz w:val="96"/>
        </w:rPr>
        <w:t>bare</w:t>
      </w:r>
    </w:p>
    <w:p>
      <w:pPr>
        <w:spacing w:after="120" w:before="0"/>
      </w:pPr>
      <w:r>
        <w:rPr>
          <w:b w:val="0"/>
          <w:i w:val="0"/>
          <w:color w:val="64748B"/>
          <w:sz w:val="21"/>
        </w:rPr>
        <w:t>Outil d'audit analytique structuré et tracé</w:t>
      </w:r>
    </w:p>
    <w:p/>
    <w:p>
      <w:pPr>
        <w:spacing w:before="400"/>
      </w:pPr>
      <w:r>
        <w:rPr>
          <w:b/>
          <w:i w:val="0"/>
          <w:color w:val="0F1724"/>
          <w:sz w:val="36"/>
        </w:rPr>
        <w:t>À l'intention des cabinets d'audit</w:t>
        <w:br/>
        <w:t>et d'expertise comptable</w:t>
      </w:r>
    </w:p>
    <w:p>
      <w:pPr>
        <w:spacing w:after="120" w:before="0"/>
      </w:pPr>
      <w:r>
        <w:rPr>
          <w:b w:val="0"/>
          <w:i w:val="0"/>
          <w:color w:val="1E293B"/>
          <w:sz w:val="21"/>
        </w:rPr>
        <w:t>Ce document présente le fonctionnement, la couverture fonctionnelle et la philosophie de Probare — logiciel d'audit analytique destiné aux équipes d'audit légal et contractuel. Il s'adresse aux associés, managers et collaborateurs souhaitant évaluer l'outil dans le cadre de leurs missions.</w:t>
      </w:r>
    </w:p>
    <w:p/>
    <w:p>
      <w:pPr>
        <w:spacing w:before="40" w:after="160"/>
        <w:pBdr>
          <w:bottom w:val="single" w:sz="4" w:space="1" w:color="E2E8F0"/>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FFFFFF"/>
            <w:tcBorders>
              <w:top w:val="none"/>
              <w:left w:val="none"/>
              <w:bottom w:val="none"/>
              <w:right w:val="none"/>
            </w:tcBorders>
          </w:tcPr>
          <w:p>
            <w:pPr>
              <w:spacing w:before="40" w:after="20"/>
            </w:pPr>
            <w:r>
              <w:rPr>
                <w:b/>
                <w:i w:val="0"/>
                <w:color w:val="2563EB"/>
                <w:sz w:val="15"/>
              </w:rPr>
              <w:t>VERSION</w:t>
            </w:r>
          </w:p>
        </w:tc>
        <w:tc>
          <w:tcPr>
            <w:tcW w:type="dxa" w:w="2351"/>
            <w:shd w:val="clear" w:color="auto" w:fill="FFFFFF"/>
            <w:tcBorders>
              <w:top w:val="none"/>
              <w:left w:val="none"/>
              <w:bottom w:val="none"/>
              <w:right w:val="none"/>
            </w:tcBorders>
          </w:tcPr>
          <w:p>
            <w:pPr>
              <w:spacing w:before="40" w:after="20"/>
            </w:pPr>
            <w:r>
              <w:rPr>
                <w:b/>
                <w:i w:val="0"/>
                <w:color w:val="2563EB"/>
                <w:sz w:val="15"/>
              </w:rPr>
              <w:t>PÉRIMÈTRE</w:t>
            </w:r>
          </w:p>
        </w:tc>
        <w:tc>
          <w:tcPr>
            <w:tcW w:type="dxa" w:w="2351"/>
            <w:shd w:val="clear" w:color="auto" w:fill="FFFFFF"/>
            <w:tcBorders>
              <w:top w:val="none"/>
              <w:left w:val="none"/>
              <w:bottom w:val="none"/>
              <w:right w:val="none"/>
            </w:tcBorders>
          </w:tcPr>
          <w:p>
            <w:pPr>
              <w:spacing w:before="40" w:after="20"/>
            </w:pPr>
            <w:r>
              <w:rPr>
                <w:b/>
                <w:i w:val="0"/>
                <w:color w:val="2563EB"/>
                <w:sz w:val="15"/>
              </w:rPr>
              <w:t>RÉFÉRENTIEL</w:t>
            </w:r>
          </w:p>
        </w:tc>
        <w:tc>
          <w:tcPr>
            <w:tcW w:type="dxa" w:w="2351"/>
            <w:shd w:val="clear" w:color="auto" w:fill="FFFFFF"/>
            <w:tcBorders>
              <w:top w:val="none"/>
              <w:left w:val="none"/>
              <w:bottom w:val="none"/>
              <w:right w:val="none"/>
            </w:tcBorders>
          </w:tcPr>
          <w:p>
            <w:pPr>
              <w:spacing w:before="40" w:after="20"/>
            </w:pPr>
            <w:r>
              <w:rPr>
                <w:b/>
                <w:i w:val="0"/>
                <w:color w:val="2563EB"/>
                <w:sz w:val="15"/>
              </w:rPr>
              <w:t>DOCUMENT</w:t>
            </w:r>
          </w:p>
        </w:tc>
      </w:tr>
      <w:tr>
        <w:tc>
          <w:tcPr>
            <w:tcW w:type="dxa" w:w="2351"/>
            <w:shd w:val="clear" w:color="auto" w:fill="FFFFFF"/>
            <w:tcBorders>
              <w:top w:val="none"/>
              <w:left w:val="none"/>
              <w:bottom w:val="none"/>
              <w:right w:val="none"/>
            </w:tcBorders>
          </w:tcPr>
          <w:p>
            <w:pPr>
              <w:spacing w:before="20" w:after="40"/>
            </w:pPr>
            <w:r>
              <w:rPr>
                <w:b/>
                <w:i w:val="0"/>
                <w:color w:val="0F1724"/>
                <w:sz w:val="20"/>
              </w:rPr>
              <w:t>Probare 1.0</w:t>
            </w:r>
          </w:p>
        </w:tc>
        <w:tc>
          <w:tcPr>
            <w:tcW w:type="dxa" w:w="2351"/>
            <w:shd w:val="clear" w:color="auto" w:fill="FFFFFF"/>
            <w:tcBorders>
              <w:top w:val="none"/>
              <w:left w:val="none"/>
              <w:bottom w:val="none"/>
              <w:right w:val="none"/>
            </w:tcBorders>
          </w:tcPr>
          <w:p>
            <w:pPr>
              <w:spacing w:before="20" w:after="40"/>
            </w:pPr>
            <w:r>
              <w:rPr>
                <w:b/>
                <w:i w:val="0"/>
                <w:color w:val="0F1724"/>
                <w:sz w:val="20"/>
              </w:rPr>
              <w:t>8 cycles — 52 contrôles</w:t>
            </w:r>
          </w:p>
        </w:tc>
        <w:tc>
          <w:tcPr>
            <w:tcW w:type="dxa" w:w="2351"/>
            <w:shd w:val="clear" w:color="auto" w:fill="FFFFFF"/>
            <w:tcBorders>
              <w:top w:val="none"/>
              <w:left w:val="none"/>
              <w:bottom w:val="none"/>
              <w:right w:val="none"/>
            </w:tcBorders>
          </w:tcPr>
          <w:p>
            <w:pPr>
              <w:spacing w:before="20" w:after="40"/>
            </w:pPr>
            <w:r>
              <w:rPr>
                <w:b/>
                <w:i w:val="0"/>
                <w:color w:val="0F1724"/>
                <w:sz w:val="20"/>
              </w:rPr>
              <w:t>NEP 230, 315, 320, 330, 500, 520, 540</w:t>
            </w:r>
          </w:p>
        </w:tc>
        <w:tc>
          <w:tcPr>
            <w:tcW w:type="dxa" w:w="2351"/>
            <w:shd w:val="clear" w:color="auto" w:fill="FFFFFF"/>
            <w:tcBorders>
              <w:top w:val="none"/>
              <w:left w:val="none"/>
              <w:bottom w:val="none"/>
              <w:right w:val="none"/>
            </w:tcBorders>
          </w:tcPr>
          <w:p>
            <w:pPr>
              <w:spacing w:before="20" w:after="40"/>
            </w:pPr>
            <w:r>
              <w:rPr>
                <w:b/>
                <w:i w:val="0"/>
                <w:color w:val="0F1724"/>
                <w:sz w:val="20"/>
              </w:rPr>
              <w:t>Confidentiel</w:t>
            </w:r>
          </w:p>
        </w:tc>
      </w:tr>
    </w:tbl>
    <w:p>
      <w:r>
        <w:br w:type="page"/>
      </w:r>
    </w:p>
    <w:p>
      <w:pPr>
        <w:spacing w:before="0" w:after="40"/>
      </w:pPr>
      <w:r>
        <w:rPr>
          <w:b/>
          <w:i w:val="0"/>
          <w:color w:val="2563EB"/>
          <w:sz w:val="16"/>
        </w:rPr>
        <w:t>SOMMAIRE</w:t>
      </w:r>
    </w:p>
    <w:p>
      <w:pPr>
        <w:spacing w:after="60" w:before="0"/>
        <w:pBdr>
          <w:bottom w:val="single" w:sz="4" w:space="4" w:color="E2E8F0"/>
        </w:pBdr>
      </w:pPr>
      <w:r>
        <w:rPr>
          <w:b/>
          <w:i w:val="0"/>
          <w:color w:val="2563EB"/>
          <w:sz w:val="20"/>
        </w:rPr>
        <w:t xml:space="preserve">1.  </w:t>
      </w:r>
      <w:r>
        <w:rPr>
          <w:b w:val="0"/>
          <w:i w:val="0"/>
          <w:color w:val="1E293B"/>
          <w:sz w:val="21"/>
        </w:rPr>
        <w:t>Présentation générale</w:t>
      </w:r>
    </w:p>
    <w:p>
      <w:pPr>
        <w:spacing w:after="60" w:before="0"/>
        <w:pBdr>
          <w:bottom w:val="single" w:sz="4" w:space="4" w:color="E2E8F0"/>
        </w:pBdr>
      </w:pPr>
      <w:r>
        <w:rPr>
          <w:b/>
          <w:i w:val="0"/>
          <w:color w:val="2563EB"/>
          <w:sz w:val="20"/>
        </w:rPr>
        <w:t xml:space="preserve">2.  </w:t>
      </w:r>
      <w:r>
        <w:rPr>
          <w:b w:val="0"/>
          <w:i w:val="0"/>
          <w:color w:val="1E293B"/>
          <w:sz w:val="21"/>
        </w:rPr>
        <w:t>Le workflow d'audit en huit phases</w:t>
      </w:r>
    </w:p>
    <w:p>
      <w:pPr>
        <w:spacing w:after="60" w:before="0"/>
        <w:pBdr>
          <w:bottom w:val="single" w:sz="4" w:space="4" w:color="E2E8F0"/>
        </w:pBdr>
      </w:pPr>
      <w:r>
        <w:rPr>
          <w:b/>
          <w:i w:val="0"/>
          <w:color w:val="2563EB"/>
          <w:sz w:val="20"/>
        </w:rPr>
        <w:t xml:space="preserve">3.  </w:t>
      </w:r>
      <w:r>
        <w:rPr>
          <w:b w:val="0"/>
          <w:i w:val="0"/>
          <w:color w:val="1E293B"/>
          <w:sz w:val="21"/>
        </w:rPr>
        <w:t>Catalogue des contrôles analytiques</w:t>
      </w:r>
    </w:p>
    <w:p>
      <w:pPr>
        <w:spacing w:after="60" w:before="0"/>
        <w:pBdr>
          <w:bottom w:val="single" w:sz="4" w:space="4" w:color="E2E8F0"/>
        </w:pBdr>
      </w:pPr>
      <w:r>
        <w:rPr>
          <w:b/>
          <w:i w:val="0"/>
          <w:color w:val="2563EB"/>
          <w:sz w:val="20"/>
        </w:rPr>
        <w:t xml:space="preserve">4.  </w:t>
      </w:r>
      <w:r>
        <w:rPr>
          <w:b w:val="0"/>
          <w:i w:val="0"/>
          <w:color w:val="1E293B"/>
          <w:sz w:val="21"/>
        </w:rPr>
        <w:t>Assistance par intelligence artificielle</w:t>
      </w:r>
    </w:p>
    <w:p>
      <w:pPr>
        <w:spacing w:after="60" w:before="0"/>
        <w:pBdr>
          <w:bottom w:val="single" w:sz="4" w:space="4" w:color="E2E8F0"/>
        </w:pBdr>
      </w:pPr>
      <w:r>
        <w:rPr>
          <w:b/>
          <w:i w:val="0"/>
          <w:color w:val="2563EB"/>
          <w:sz w:val="20"/>
        </w:rPr>
        <w:t xml:space="preserve">5.  </w:t>
      </w:r>
      <w:r>
        <w:rPr>
          <w:b w:val="0"/>
          <w:i w:val="0"/>
          <w:color w:val="1E293B"/>
          <w:sz w:val="21"/>
        </w:rPr>
        <w:t>Cas pratique — Cycle trésorerie (DALOL Trading SARL)</w:t>
      </w:r>
    </w:p>
    <w:p>
      <w:pPr>
        <w:spacing w:after="60" w:before="0"/>
        <w:pBdr>
          <w:bottom w:val="single" w:sz="4" w:space="4" w:color="E2E8F0"/>
        </w:pBdr>
      </w:pPr>
      <w:r>
        <w:rPr>
          <w:b/>
          <w:i w:val="0"/>
          <w:color w:val="2563EB"/>
          <w:sz w:val="20"/>
        </w:rPr>
        <w:t xml:space="preserve">6.  </w:t>
      </w:r>
      <w:r>
        <w:rPr>
          <w:b w:val="0"/>
          <w:i w:val="0"/>
          <w:color w:val="1E293B"/>
          <w:sz w:val="21"/>
        </w:rPr>
        <w:t>Utilisation par profil au sein du cabinet</w:t>
      </w:r>
    </w:p>
    <w:p>
      <w:pPr>
        <w:spacing w:after="60" w:before="0"/>
        <w:pBdr>
          <w:bottom w:val="single" w:sz="4" w:space="4" w:color="E2E8F0"/>
        </w:pBdr>
      </w:pPr>
      <w:r>
        <w:rPr>
          <w:b/>
          <w:i w:val="0"/>
          <w:color w:val="2563EB"/>
          <w:sz w:val="20"/>
        </w:rPr>
        <w:t xml:space="preserve">7.  </w:t>
      </w:r>
      <w:r>
        <w:rPr>
          <w:b w:val="0"/>
          <w:i w:val="0"/>
          <w:color w:val="1E293B"/>
          <w:sz w:val="21"/>
        </w:rPr>
        <w:t>Conformité normative et traçabilité</w:t>
      </w:r>
    </w:p>
    <w:p>
      <w:pPr>
        <w:spacing w:after="60" w:before="0"/>
        <w:pBdr>
          <w:bottom w:val="single" w:sz="4" w:space="4" w:color="E2E8F0"/>
        </w:pBdr>
      </w:pPr>
      <w:r>
        <w:rPr>
          <w:b/>
          <w:i w:val="0"/>
          <w:color w:val="2563EB"/>
          <w:sz w:val="20"/>
        </w:rPr>
        <w:t xml:space="preserve">8.  </w:t>
      </w:r>
      <w:r>
        <w:rPr>
          <w:b w:val="0"/>
          <w:i w:val="0"/>
          <w:color w:val="1E293B"/>
          <w:sz w:val="21"/>
        </w:rPr>
        <w:t>Conditions de mise en œuvre</w:t>
      </w:r>
    </w:p>
    <w:p/>
    <w:p>
      <w:pPr>
        <w:spacing w:after="0"/>
      </w:pPr>
      <w:r>
        <w:rPr>
          <w:b w:val="0"/>
          <w:i w:val="0"/>
          <w:color w:val="64748B"/>
          <w:sz w:val="19"/>
        </w:rPr>
        <w:t>Les chapitres 1 à 4 décrivent le fonctionnement général de Probare. Le chapitre 5 illustre une mission complète sur le cycle trésorerie. Les chapitres 6 à 8 traitent de l'organisation au sein du cabinet et des conditions pratiques d'utilisation.</w:t>
      </w:r>
    </w:p>
    <w:p>
      <w:r>
        <w:br w:type="page"/>
      </w:r>
    </w:p>
    <w:p>
      <w:pPr>
        <w:spacing w:before="0" w:after="40"/>
      </w:pPr>
      <w:r>
        <w:rPr>
          <w:b/>
          <w:i w:val="0"/>
          <w:color w:val="2563EB"/>
          <w:sz w:val="16"/>
        </w:rPr>
        <w:t>CHAPITRE 1</w:t>
      </w:r>
    </w:p>
    <w:p>
      <w:pPr>
        <w:spacing w:before="80" w:after="40"/>
        <w:keepLines/>
        <w:keepNext/>
      </w:pPr>
      <w:r>
        <w:rPr>
          <w:b/>
          <w:i w:val="0"/>
          <w:color w:val="0F1724"/>
          <w:sz w:val="44"/>
        </w:rPr>
        <w:t>Présentation générale</w:t>
      </w:r>
    </w:p>
    <w:p>
      <w:pPr>
        <w:spacing w:before="0" w:after="160"/>
      </w:pPr>
      <w:r>
        <w:rPr>
          <w:b w:val="0"/>
          <w:i w:val="0"/>
          <w:color w:val="64748B"/>
          <w:sz w:val="22"/>
        </w:rPr>
        <w:t>Nature, périmètre et positionnement de Probare au sein du processus d'audit.</w:t>
      </w:r>
    </w:p>
    <w:p>
      <w:pPr>
        <w:spacing w:before="40" w:after="160"/>
        <w:pBdr>
          <w:bottom w:val="single" w:sz="4" w:space="1" w:color="E2E8F0"/>
        </w:pBdr>
      </w:pPr>
    </w:p>
    <w:p>
      <w:pPr>
        <w:spacing w:before="200" w:after="80"/>
        <w:keepLines/>
        <w:keepNext/>
        <w:pBdr>
          <w:bottom w:val="single" w:sz="6" w:space="4" w:color="2563eb"/>
        </w:pBdr>
      </w:pPr>
      <w:r>
        <w:rPr>
          <w:b/>
          <w:i w:val="0"/>
          <w:color w:val="0F1724"/>
          <w:sz w:val="24"/>
        </w:rPr>
        <w:t>Qu'est-ce que Probare ?</w:t>
      </w:r>
    </w:p>
    <w:p>
      <w:pPr>
        <w:spacing w:after="120" w:before="0"/>
      </w:pPr>
      <w:r>
        <w:rPr>
          <w:b w:val="0"/>
          <w:i w:val="0"/>
          <w:color w:val="1E293B"/>
          <w:sz w:val="21"/>
        </w:rPr>
        <w:t>Probare est un logiciel d'audit analytique destiné aux équipes d'audit légal et contractuel. Il prend en entrée les données comptables produites par l'entité auditée — balance générale et grand livre — et exécute un ensemble de contrôles analytiques déterministes dont les résultats alimentent automatiquement le dossier de travail.</w:t>
      </w:r>
    </w:p>
    <w:p>
      <w:pPr>
        <w:spacing w:after="120" w:before="0"/>
      </w:pPr>
      <w:r>
        <w:rPr>
          <w:b w:val="0"/>
          <w:i w:val="0"/>
          <w:color w:val="1E293B"/>
          <w:sz w:val="21"/>
        </w:rPr>
        <w:t>L'outil couvre huit cycles comptables au travers de 52 contrôles, et guide l'équipe d'audit à travers un workflow en huit phases, de la prise en charge de la mission jusqu'à la formation de l'opinion.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FFFFFF"/>
          </w:tcPr>
          <w:p>
            <w:pPr>
              <w:spacing w:before="80" w:after="40"/>
            </w:pPr>
            <w:r>
              <w:rPr>
                <w:b/>
                <w:i w:val="0"/>
                <w:color w:val="0F1724"/>
                <w:sz w:val="44"/>
              </w:rPr>
              <w:t>52</w:t>
            </w:r>
          </w:p>
        </w:tc>
        <w:tc>
          <w:tcPr>
            <w:tcW w:type="dxa" w:w="2351"/>
            <w:shd w:val="clear" w:color="auto" w:fill="FFFFFF"/>
          </w:tcPr>
          <w:p>
            <w:pPr>
              <w:spacing w:before="80" w:after="40"/>
            </w:pPr>
            <w:r>
              <w:rPr>
                <w:b/>
                <w:i w:val="0"/>
                <w:color w:val="0F1724"/>
                <w:sz w:val="44"/>
              </w:rPr>
              <w:t>8</w:t>
            </w:r>
          </w:p>
        </w:tc>
        <w:tc>
          <w:tcPr>
            <w:tcW w:type="dxa" w:w="2351"/>
            <w:shd w:val="clear" w:color="auto" w:fill="FFFFFF"/>
          </w:tcPr>
          <w:p>
            <w:pPr>
              <w:spacing w:before="80" w:after="40"/>
            </w:pPr>
            <w:r>
              <w:rPr>
                <w:b/>
                <w:i w:val="0"/>
                <w:color w:val="0F1724"/>
                <w:sz w:val="44"/>
              </w:rPr>
              <w:t>8</w:t>
            </w:r>
          </w:p>
        </w:tc>
        <w:tc>
          <w:tcPr>
            <w:tcW w:type="dxa" w:w="2351"/>
            <w:shd w:val="clear" w:color="auto" w:fill="FFFFFF"/>
          </w:tcPr>
          <w:p>
            <w:pPr>
              <w:spacing w:before="80" w:after="40"/>
            </w:pPr>
            <w:r>
              <w:rPr>
                <w:b/>
                <w:i w:val="0"/>
                <w:color w:val="0F1724"/>
                <w:sz w:val="44"/>
              </w:rPr>
              <w:t>100 %</w:t>
            </w:r>
          </w:p>
        </w:tc>
      </w:tr>
      <w:tr>
        <w:tc>
          <w:tcPr>
            <w:tcW w:type="dxa" w:w="2351"/>
            <w:shd w:val="clear" w:color="auto" w:fill="FFFFFF"/>
          </w:tcPr>
          <w:p>
            <w:pPr>
              <w:spacing w:before="0" w:after="80"/>
            </w:pPr>
            <w:r>
              <w:rPr>
                <w:b/>
                <w:i w:val="0"/>
                <w:color w:val="64748B"/>
                <w:sz w:val="15"/>
              </w:rPr>
              <w:t>CONTRÔLES ANALYTIQUES</w:t>
            </w:r>
          </w:p>
        </w:tc>
        <w:tc>
          <w:tcPr>
            <w:tcW w:type="dxa" w:w="2351"/>
            <w:shd w:val="clear" w:color="auto" w:fill="FFFFFF"/>
          </w:tcPr>
          <w:p>
            <w:pPr>
              <w:spacing w:before="0" w:after="80"/>
            </w:pPr>
            <w:r>
              <w:rPr>
                <w:b/>
                <w:i w:val="0"/>
                <w:color w:val="64748B"/>
                <w:sz w:val="15"/>
              </w:rPr>
              <w:t>CYCLES COMPTABLES COUVERTS</w:t>
            </w:r>
          </w:p>
        </w:tc>
        <w:tc>
          <w:tcPr>
            <w:tcW w:type="dxa" w:w="2351"/>
            <w:shd w:val="clear" w:color="auto" w:fill="FFFFFF"/>
          </w:tcPr>
          <w:p>
            <w:pPr>
              <w:spacing w:before="0" w:after="80"/>
            </w:pPr>
            <w:r>
              <w:rPr>
                <w:b/>
                <w:i w:val="0"/>
                <w:color w:val="64748B"/>
                <w:sz w:val="15"/>
              </w:rPr>
              <w:t>PHASES DE MISSION</w:t>
            </w:r>
          </w:p>
        </w:tc>
        <w:tc>
          <w:tcPr>
            <w:tcW w:type="dxa" w:w="2351"/>
            <w:shd w:val="clear" w:color="auto" w:fill="FFFFFF"/>
          </w:tcPr>
          <w:p>
            <w:pPr>
              <w:spacing w:before="0" w:after="80"/>
            </w:pPr>
            <w:r>
              <w:rPr>
                <w:b/>
                <w:i w:val="0"/>
                <w:color w:val="64748B"/>
                <w:sz w:val="15"/>
              </w:rPr>
              <w:t>TRAÇABILITÉ DES DONNÉES SOURCES</w:t>
            </w:r>
          </w:p>
        </w:tc>
      </w:tr>
    </w:tbl>
    <w:p>
      <w:pPr>
        <w:spacing w:after="80"/>
      </w:pPr>
    </w:p>
    <w:p>
      <w:pPr>
        <w:spacing w:before="200" w:after="80"/>
        <w:keepLines/>
        <w:keepNext/>
        <w:pBdr>
          <w:bottom w:val="single" w:sz="6" w:space="4" w:color="2563eb"/>
        </w:pBdr>
      </w:pPr>
      <w:r>
        <w:rPr>
          <w:b/>
          <w:i w:val="0"/>
          <w:color w:val="0F1724"/>
          <w:sz w:val="24"/>
        </w:rPr>
        <w:t>Périmètre fonctionnel</w:t>
      </w:r>
    </w:p>
    <w:p>
      <w:pPr>
        <w:spacing w:after="120" w:before="0"/>
      </w:pPr>
      <w:r>
        <w:rPr>
          <w:b w:val="0"/>
          <w:i w:val="0"/>
          <w:color w:val="1E293B"/>
          <w:sz w:val="21"/>
        </w:rPr>
        <w:t>Probare couvre la partie analytique des travaux substantifs, soit la majorité des procédés d'audit applicable à des données comptables structurées. L'outil ne se substitue pas aux procédures de confirmation externe, aux observations physiques ni aux entretiens.</w:t>
      </w:r>
    </w:p>
    <w:p>
      <w:pPr>
        <w:spacing w:after="0"/>
      </w:pPr>
      <w:r>
        <w:rPr>
          <w:b/>
          <w:i w:val="0"/>
          <w:color w:val="0F1724"/>
          <w:sz w:val="20"/>
        </w:rPr>
        <w:t>Ce que Probare prend en charge</w:t>
      </w:r>
    </w:p>
    <w:p>
      <w:pPr>
        <w:pStyle w:val="ListBullet"/>
        <w:spacing w:after="40" w:before="0"/>
        <w:ind w:left="454"/>
      </w:pPr>
      <w:r>
        <w:rPr>
          <w:b w:val="0"/>
          <w:i w:val="0"/>
          <w:color w:val="475569"/>
          <w:sz w:val="21"/>
        </w:rPr>
        <w:t>Cadrage de la mission et calcul du seuil de signification</w:t>
      </w:r>
    </w:p>
    <w:p>
      <w:pPr>
        <w:pStyle w:val="ListBullet"/>
        <w:spacing w:after="40" w:before="0"/>
        <w:ind w:left="454"/>
      </w:pPr>
      <w:r>
        <w:rPr>
          <w:b w:val="0"/>
          <w:i w:val="0"/>
          <w:color w:val="475569"/>
          <w:sz w:val="21"/>
        </w:rPr>
        <w:t>Questionnaire de contrôle interne par cycle (QCI)</w:t>
      </w:r>
    </w:p>
    <w:p>
      <w:pPr>
        <w:pStyle w:val="ListBullet"/>
        <w:spacing w:after="40" w:before="0"/>
        <w:ind w:left="454"/>
      </w:pPr>
      <w:r>
        <w:rPr>
          <w:b w:val="0"/>
          <w:i w:val="0"/>
          <w:color w:val="475569"/>
          <w:sz w:val="21"/>
        </w:rPr>
        <w:t>Import et indexation des données comptables sources</w:t>
      </w:r>
    </w:p>
    <w:p>
      <w:pPr>
        <w:pStyle w:val="ListBullet"/>
        <w:spacing w:after="40" w:before="0"/>
        <w:ind w:left="454"/>
      </w:pPr>
      <w:r>
        <w:rPr>
          <w:b w:val="0"/>
          <w:i w:val="0"/>
          <w:color w:val="475569"/>
          <w:sz w:val="21"/>
        </w:rPr>
        <w:t>Exécution des 52 contrôles analytiques</w:t>
      </w:r>
    </w:p>
    <w:p>
      <w:pPr>
        <w:pStyle w:val="ListBullet"/>
        <w:spacing w:after="40" w:before="0"/>
        <w:ind w:left="454"/>
      </w:pPr>
      <w:r>
        <w:rPr>
          <w:b w:val="0"/>
          <w:i w:val="0"/>
          <w:color w:val="475569"/>
          <w:sz w:val="21"/>
        </w:rPr>
        <w:t>Gestion et qualification des exceptions</w:t>
      </w:r>
    </w:p>
    <w:p>
      <w:pPr>
        <w:pStyle w:val="ListBullet"/>
        <w:spacing w:after="40" w:before="0"/>
        <w:ind w:left="454"/>
      </w:pPr>
      <w:r>
        <w:rPr>
          <w:b w:val="0"/>
          <w:i w:val="0"/>
          <w:color w:val="475569"/>
          <w:sz w:val="21"/>
        </w:rPr>
        <w:t>Génération du dossier de travail en format PDF</w:t>
      </w:r>
    </w:p>
    <w:p>
      <w:pPr>
        <w:pStyle w:val="ListBullet"/>
        <w:spacing w:after="40" w:before="0"/>
        <w:ind w:left="454"/>
      </w:pPr>
      <w:r>
        <w:rPr>
          <w:b w:val="0"/>
          <w:i w:val="0"/>
          <w:color w:val="475569"/>
          <w:sz w:val="21"/>
        </w:rPr>
        <w:t>Archivage dans le dossier permanent client</w:t>
      </w:r>
    </w:p>
    <w:p>
      <w:pPr>
        <w:spacing w:after="40"/>
      </w:pPr>
    </w:p>
    <w:p>
      <w:pPr>
        <w:spacing w:after="0"/>
      </w:pPr>
      <w:r>
        <w:rPr>
          <w:b/>
          <w:i w:val="0"/>
          <w:color w:val="0F1724"/>
          <w:sz w:val="20"/>
        </w:rPr>
        <w:t>Ce qui reste hors périmètre</w:t>
      </w:r>
    </w:p>
    <w:p>
      <w:pPr>
        <w:pStyle w:val="ListBullet"/>
        <w:spacing w:after="40" w:before="0"/>
        <w:ind w:left="454"/>
      </w:pPr>
      <w:r>
        <w:rPr>
          <w:b w:val="0"/>
          <w:i w:val="0"/>
          <w:color w:val="475569"/>
          <w:sz w:val="21"/>
        </w:rPr>
        <w:t>Circularisations et confirmations externes</w:t>
      </w:r>
    </w:p>
    <w:p>
      <w:pPr>
        <w:pStyle w:val="ListBullet"/>
        <w:spacing w:after="40" w:before="0"/>
        <w:ind w:left="454"/>
      </w:pPr>
      <w:r>
        <w:rPr>
          <w:b w:val="0"/>
          <w:i w:val="0"/>
          <w:color w:val="475569"/>
          <w:sz w:val="21"/>
        </w:rPr>
        <w:t>Inventaires physiques</w:t>
      </w:r>
    </w:p>
    <w:p>
      <w:pPr>
        <w:pStyle w:val="ListBullet"/>
        <w:spacing w:after="40" w:before="0"/>
        <w:ind w:left="454"/>
      </w:pPr>
      <w:r>
        <w:rPr>
          <w:b w:val="0"/>
          <w:i w:val="0"/>
          <w:color w:val="475569"/>
          <w:sz w:val="21"/>
        </w:rPr>
        <w:t>Entretiens et procédures d'enquête</w:t>
      </w:r>
    </w:p>
    <w:p>
      <w:pPr>
        <w:pStyle w:val="ListBullet"/>
        <w:spacing w:after="40" w:before="0"/>
        <w:ind w:left="454"/>
      </w:pPr>
      <w:r>
        <w:rPr>
          <w:b w:val="0"/>
          <w:i w:val="0"/>
          <w:color w:val="475569"/>
          <w:sz w:val="21"/>
        </w:rPr>
        <w:t>Tests de procédures manuels</w:t>
      </w:r>
    </w:p>
    <w:p>
      <w:pPr>
        <w:pStyle w:val="ListBullet"/>
        <w:spacing w:after="40" w:before="0"/>
        <w:ind w:left="454"/>
      </w:pPr>
      <w:r>
        <w:rPr>
          <w:b w:val="0"/>
          <w:i w:val="0"/>
          <w:color w:val="475569"/>
          <w:sz w:val="21"/>
        </w:rPr>
        <w:t>Rédaction du rapport d'opinion officiel</w:t>
      </w:r>
    </w:p>
    <w:p>
      <w:pPr>
        <w:pStyle w:val="ListBullet"/>
        <w:spacing w:after="40" w:before="0"/>
        <w:ind w:left="454"/>
      </w:pPr>
      <w:r>
        <w:rPr>
          <w:b w:val="0"/>
          <w:i w:val="0"/>
          <w:color w:val="475569"/>
          <w:sz w:val="21"/>
        </w:rPr>
        <w:t>Gestion des honoraires et facturation</w:t>
      </w:r>
    </w:p>
    <w:p>
      <w:pPr>
        <w:spacing w:before="200" w:after="80"/>
        <w:keepLines/>
        <w:keepNext/>
        <w:pBdr>
          <w:bottom w:val="single" w:sz="6" w:space="4" w:color="2563eb"/>
        </w:pBdr>
      </w:pPr>
      <w:r>
        <w:rPr>
          <w:b/>
          <w:i w:val="0"/>
          <w:color w:val="0F1724"/>
          <w:sz w:val="24"/>
        </w:rPr>
        <w:t>Principe fondateur : la provenance totale</w:t>
      </w:r>
    </w:p>
    <w:p>
      <w:pPr>
        <w:spacing w:after="120" w:before="0"/>
      </w:pPr>
      <w:r>
        <w:rPr>
          <w:b w:val="0"/>
          <w:i w:val="0"/>
          <w:color w:val="1E293B"/>
          <w:sz w:val="21"/>
        </w:rPr>
        <w:t>Toute donnée chiffrée présente dans le dossier d'audit généré par Probare est rattachée à son enregistrement source : fichier importé, numéro de ligne, numéro de colonne. Ce principe est appliqué mécaniquement — la génération du dossier est bloquée si une valeur ne peut être tracée jusqu'à sa source.</w:t>
      </w:r>
    </w:p>
    <w:p>
      <w:pPr>
        <w:spacing w:before="80" w:after="160"/>
        <w:ind w:left="454" w:right="454"/>
        <w:pBdr>
          <w:left w:val="single" w:sz="12" w:space="8" w:color="2563eb"/>
        </w:pBdr>
        <w:shd w:val="clear" w:color="auto" w:fill="EFF6FF"/>
      </w:pPr>
      <w:r>
        <w:rPr>
          <w:b w:val="0"/>
          <w:i/>
          <w:color w:val="1E3A8A"/>
          <w:sz w:val="20"/>
        </w:rPr>
        <w:t>Si le dossier indique un solde de 31 500 000 FCFA pour le compte 512, Probare est en mesure de restituer que ce chiffre provient de la ligne 14, colonne C du fichier balance_2024.xlsx, importé le 12 juin 2024. Cette liaison est établie automatiquement, sans intervention de l'auditeur.</w:t>
      </w:r>
    </w:p>
    <w:p>
      <w:pPr>
        <w:spacing w:after="120" w:before="0"/>
      </w:pPr>
      <w:r>
        <w:rPr>
          <w:b w:val="0"/>
          <w:i w:val="0"/>
          <w:color w:val="1E293B"/>
          <w:sz w:val="21"/>
        </w:rPr>
        <w:t>Ce principe garantit que le dossier d'audit satisfait aux exigences de la NEP 230 sur la documentation des éléments probants, et constitue une réponse directe aux contrôles qualité internes et externes des cabinets.</w:t>
      </w:r>
    </w:p>
    <w:p>
      <w:r>
        <w:br w:type="page"/>
      </w:r>
    </w:p>
    <w:p>
      <w:pPr>
        <w:spacing w:before="0" w:after="40"/>
      </w:pPr>
      <w:r>
        <w:rPr>
          <w:b/>
          <w:i w:val="0"/>
          <w:color w:val="2563EB"/>
          <w:sz w:val="16"/>
        </w:rPr>
        <w:t>CHAPITRE 2</w:t>
      </w:r>
    </w:p>
    <w:p>
      <w:pPr>
        <w:spacing w:before="80" w:after="40"/>
        <w:keepLines/>
        <w:keepNext/>
      </w:pPr>
      <w:r>
        <w:rPr>
          <w:b/>
          <w:i w:val="0"/>
          <w:color w:val="0F1724"/>
          <w:sz w:val="44"/>
        </w:rPr>
        <w:t>Le workflow d'audit en huit phases</w:t>
      </w:r>
    </w:p>
    <w:p>
      <w:pPr>
        <w:spacing w:before="0" w:after="160"/>
      </w:pPr>
      <w:r>
        <w:rPr>
          <w:b w:val="0"/>
          <w:i w:val="0"/>
          <w:color w:val="64748B"/>
          <w:sz w:val="22"/>
        </w:rPr>
        <w:t>Probare structure la mission en phases séquentielles et irréversibles, chacune documentée et référencée aux normes applicables.</w:t>
      </w:r>
    </w:p>
    <w:p>
      <w:pPr>
        <w:spacing w:before="40" w:after="160"/>
        <w:pBdr>
          <w:bottom w:val="single" w:sz="4" w:space="1" w:color="E2E8F0"/>
        </w:pBdr>
      </w:pPr>
    </w:p>
    <w:p>
      <w:pPr>
        <w:spacing w:before="80" w:after="160"/>
        <w:ind w:left="454" w:right="454"/>
        <w:pBdr>
          <w:left w:val="single" w:sz="12" w:space="8" w:color="2563eb"/>
        </w:pBdr>
        <w:shd w:val="clear" w:color="auto" w:fill="EFF6FF"/>
      </w:pPr>
      <w:r>
        <w:rPr>
          <w:b w:val="0"/>
          <w:i/>
          <w:color w:val="1E3A8A"/>
          <w:sz w:val="20"/>
        </w:rPr>
        <w:t>Le pipeline de Probare est unidirectionnel : une fois une phase validée, il n'est pas possible de revenir en arrière. Cette contrainte garantit l'intégrité du dossier en empêchant toute modification des données ou des résultats après l'exécution des contrôles.</w:t>
      </w:r>
    </w:p>
    <w:p>
      <w:pPr>
        <w:spacing w:before="120" w:after="20"/>
        <w:keepLines/>
        <w:keepNext/>
      </w:pPr>
      <w:r>
        <w:rPr>
          <w:b/>
          <w:i w:val="0"/>
          <w:color w:val="0F1724"/>
          <w:sz w:val="22"/>
        </w:rPr>
        <w:t xml:space="preserve">1  </w:t>
      </w:r>
      <w:r>
        <w:rPr>
          <w:b/>
          <w:i w:val="0"/>
          <w:color w:val="0F1724"/>
          <w:sz w:val="22"/>
        </w:rPr>
        <w:t>Cadrage de la mission</w:t>
      </w:r>
    </w:p>
    <w:p>
      <w:pPr>
        <w:spacing w:before="0" w:after="20"/>
      </w:pPr>
      <w:r>
        <w:rPr>
          <w:b/>
          <w:i w:val="0"/>
          <w:color w:val="2563EB"/>
          <w:sz w:val="16"/>
        </w:rPr>
        <w:t>NEP 315 — NEP 320</w:t>
      </w:r>
    </w:p>
    <w:p>
      <w:pPr>
        <w:spacing w:after="20" w:before="0"/>
      </w:pPr>
      <w:r>
        <w:rPr>
          <w:b w:val="0"/>
          <w:i w:val="0"/>
          <w:color w:val="1E293B"/>
          <w:sz w:val="21"/>
        </w:rPr>
        <w:t>Définition du périmètre : raison sociale, exercice, méthode de calcul du seuil de signification (pourcentage du total bilan, du chiffre d'affaires ou du résultat net), cycles à auditer. Le seuil est calculé automatiquement. Les cycles sélectionnés déterminent l'ensemble des contrôles qui seront exécutés.</w:t>
      </w:r>
    </w:p>
    <w:p>
      <w:pPr>
        <w:spacing w:after="120"/>
      </w:pPr>
      <w:r>
        <w:rPr>
          <w:b w:val="0"/>
          <w:i/>
          <w:color w:val="64748B"/>
          <w:sz w:val="19"/>
        </w:rPr>
        <w:t>Produit : fiche de cadrage avec seuil de signification</w:t>
      </w:r>
    </w:p>
    <w:p>
      <w:pPr>
        <w:spacing w:before="120" w:after="20"/>
        <w:keepLines/>
        <w:keepNext/>
      </w:pPr>
      <w:r>
        <w:rPr>
          <w:b/>
          <w:i w:val="0"/>
          <w:color w:val="0F1724"/>
          <w:sz w:val="22"/>
        </w:rPr>
        <w:t xml:space="preserve">2  </w:t>
      </w:r>
      <w:r>
        <w:rPr>
          <w:b/>
          <w:i w:val="0"/>
          <w:color w:val="0F1724"/>
          <w:sz w:val="22"/>
        </w:rPr>
        <w:t>Évaluation du contrôle interne</w:t>
      </w:r>
    </w:p>
    <w:p>
      <w:pPr>
        <w:spacing w:before="0" w:after="20"/>
      </w:pPr>
      <w:r>
        <w:rPr>
          <w:b/>
          <w:i w:val="0"/>
          <w:color w:val="2563EB"/>
          <w:sz w:val="16"/>
        </w:rPr>
        <w:t>NEP 315</w:t>
      </w:r>
    </w:p>
    <w:p>
      <w:pPr>
        <w:spacing w:after="20" w:before="0"/>
      </w:pPr>
      <w:r>
        <w:rPr>
          <w:b w:val="0"/>
          <w:i w:val="0"/>
          <w:color w:val="1E293B"/>
          <w:sz w:val="21"/>
        </w:rPr>
        <w:t>Pour chaque cycle retenu, l'auditeur répond à un questionnaire de dix questions sur le contrôle interne (QCI). Les réponses génèrent une note globale qui oriente l'étendue des travaux substantifs : un contrôle interne évalué comme fort justifie des procédures allégées, une évaluation défavorable commande des investigations approfondies.</w:t>
      </w:r>
    </w:p>
    <w:p>
      <w:pPr>
        <w:spacing w:after="120"/>
      </w:pPr>
      <w:r>
        <w:rPr>
          <w:b w:val="0"/>
          <w:i/>
          <w:color w:val="64748B"/>
          <w:sz w:val="19"/>
        </w:rPr>
        <w:t>Produit : QCI complété et scoré par cycle, documentation du niveau de risque</w:t>
      </w:r>
    </w:p>
    <w:p>
      <w:pPr>
        <w:spacing w:before="120" w:after="20"/>
        <w:keepLines/>
        <w:keepNext/>
      </w:pPr>
      <w:r>
        <w:rPr>
          <w:b/>
          <w:i w:val="0"/>
          <w:color w:val="0F1724"/>
          <w:sz w:val="22"/>
        </w:rPr>
        <w:t xml:space="preserve">3  </w:t>
      </w:r>
      <w:r>
        <w:rPr>
          <w:b/>
          <w:i w:val="0"/>
          <w:color w:val="0F1724"/>
          <w:sz w:val="22"/>
        </w:rPr>
        <w:t>Ingestion des données</w:t>
      </w:r>
    </w:p>
    <w:p>
      <w:pPr>
        <w:spacing w:before="0" w:after="20"/>
      </w:pPr>
      <w:r>
        <w:rPr>
          <w:b/>
          <w:i w:val="0"/>
          <w:color w:val="2563EB"/>
          <w:sz w:val="16"/>
        </w:rPr>
        <w:t>NEP 500</w:t>
      </w:r>
    </w:p>
    <w:p>
      <w:pPr>
        <w:spacing w:after="20" w:before="0"/>
      </w:pPr>
      <w:r>
        <w:rPr>
          <w:b w:val="0"/>
          <w:i w:val="0"/>
          <w:color w:val="1E293B"/>
          <w:sz w:val="21"/>
        </w:rPr>
        <w:t>Import des fichiers comptables fournis par le client (balance N et N-1, grand livre) aux formats Excel ou CSV. Un module d'assistance au mapping des colonnes identifie automatiquement les champs attendus, même lorsque les intitulés du client s'écartent des nomenclatures standard. Chaque enregistrement importé reçoit un identifiant de provenance unique.</w:t>
      </w:r>
    </w:p>
    <w:p>
      <w:pPr>
        <w:spacing w:after="120"/>
      </w:pPr>
      <w:r>
        <w:rPr>
          <w:b w:val="0"/>
          <w:i/>
          <w:color w:val="64748B"/>
          <w:sz w:val="19"/>
        </w:rPr>
        <w:t>Produit : base de données source horodatée, intégralement tracée</w:t>
      </w:r>
    </w:p>
    <w:p>
      <w:pPr>
        <w:spacing w:before="120" w:after="20"/>
        <w:keepLines/>
        <w:keepNext/>
      </w:pPr>
      <w:r>
        <w:rPr>
          <w:b/>
          <w:i w:val="0"/>
          <w:color w:val="0F1724"/>
          <w:sz w:val="22"/>
        </w:rPr>
        <w:t xml:space="preserve">4  </w:t>
      </w:r>
      <w:r>
        <w:rPr>
          <w:b/>
          <w:i w:val="0"/>
          <w:color w:val="0F1724"/>
          <w:sz w:val="22"/>
        </w:rPr>
        <w:t>Planification des travaux</w:t>
      </w:r>
    </w:p>
    <w:p>
      <w:pPr>
        <w:spacing w:before="0" w:after="20"/>
      </w:pPr>
      <w:r>
        <w:rPr>
          <w:b/>
          <w:i w:val="0"/>
          <w:color w:val="2563EB"/>
          <w:sz w:val="16"/>
        </w:rPr>
        <w:t>NEP 300 — NEP 330</w:t>
      </w:r>
    </w:p>
    <w:p>
      <w:pPr>
        <w:spacing w:after="20" w:before="0"/>
      </w:pPr>
      <w:r>
        <w:rPr>
          <w:b w:val="0"/>
          <w:i w:val="0"/>
          <w:color w:val="1E293B"/>
          <w:sz w:val="21"/>
        </w:rPr>
        <w:t>L'auditeur révise et valide le programme de travail au vu des données reçues. Il peut ajuster les priorités par cycle et documenter les risques spécifiques identifiés. Cette phase constitue le point de non-retour avant l'exécution des contrôles.</w:t>
      </w:r>
    </w:p>
    <w:p>
      <w:pPr>
        <w:spacing w:after="120"/>
      </w:pPr>
      <w:r>
        <w:rPr>
          <w:b w:val="0"/>
          <w:i/>
          <w:color w:val="64748B"/>
          <w:sz w:val="19"/>
        </w:rPr>
        <w:t>Produit : programme de travail validé</w:t>
      </w:r>
    </w:p>
    <w:p>
      <w:pPr>
        <w:spacing w:before="120" w:after="20"/>
        <w:keepLines/>
        <w:keepNext/>
      </w:pPr>
      <w:r>
        <w:rPr>
          <w:b/>
          <w:i w:val="0"/>
          <w:color w:val="0F1724"/>
          <w:sz w:val="22"/>
        </w:rPr>
        <w:t xml:space="preserve">5  </w:t>
      </w:r>
      <w:r>
        <w:rPr>
          <w:b/>
          <w:i w:val="0"/>
          <w:color w:val="0F1724"/>
          <w:sz w:val="22"/>
        </w:rPr>
        <w:t>Travaux substantifs — Exécution des contrôles</w:t>
      </w:r>
    </w:p>
    <w:p>
      <w:pPr>
        <w:spacing w:before="0" w:after="20"/>
      </w:pPr>
      <w:r>
        <w:rPr>
          <w:b/>
          <w:i w:val="0"/>
          <w:color w:val="2563EB"/>
          <w:sz w:val="16"/>
        </w:rPr>
        <w:t>NEP 330 — NEP 520 — NEP 540</w:t>
      </w:r>
    </w:p>
    <w:p>
      <w:pPr>
        <w:spacing w:after="20" w:before="0"/>
      </w:pPr>
      <w:r>
        <w:rPr>
          <w:b w:val="0"/>
          <w:i w:val="0"/>
          <w:color w:val="1E293B"/>
          <w:sz w:val="21"/>
        </w:rPr>
        <w:t>Exécution automatique des contrôles analytiques sélectionnés. Chaque contrôle produit un résultat chiffré, un statut (Conforme / Attention / Anomalie), une conclusion préliminaire et les données probantes sous-jacentes avec leur traçabilité complète. L'exécution est déterministe : des données identiques produisent toujours le même résultat.</w:t>
      </w:r>
    </w:p>
    <w:p>
      <w:pPr>
        <w:spacing w:after="120"/>
      </w:pPr>
      <w:r>
        <w:rPr>
          <w:b w:val="0"/>
          <w:i/>
          <w:color w:val="64748B"/>
          <w:sz w:val="19"/>
        </w:rPr>
        <w:t>Produit : tableau de résultats par contrôle avec données probantes</w:t>
      </w:r>
    </w:p>
    <w:p>
      <w:pPr>
        <w:spacing w:before="120" w:after="20"/>
        <w:keepLines/>
        <w:keepNext/>
      </w:pPr>
      <w:r>
        <w:rPr>
          <w:b/>
          <w:i w:val="0"/>
          <w:color w:val="0F1724"/>
          <w:sz w:val="22"/>
        </w:rPr>
        <w:t xml:space="preserve">6  </w:t>
      </w:r>
      <w:r>
        <w:rPr>
          <w:b/>
          <w:i w:val="0"/>
          <w:color w:val="0F1724"/>
          <w:sz w:val="22"/>
        </w:rPr>
        <w:t>Revue et qualification des exceptions</w:t>
      </w:r>
    </w:p>
    <w:p>
      <w:pPr>
        <w:spacing w:before="0" w:after="20"/>
      </w:pPr>
      <w:r>
        <w:rPr>
          <w:b/>
          <w:i w:val="0"/>
          <w:color w:val="2563EB"/>
          <w:sz w:val="16"/>
        </w:rPr>
        <w:t>NEP 330 — NEP 230</w:t>
      </w:r>
    </w:p>
    <w:p>
      <w:pPr>
        <w:spacing w:after="20" w:before="0"/>
      </w:pPr>
      <w:r>
        <w:rPr>
          <w:b w:val="0"/>
          <w:i w:val="0"/>
          <w:color w:val="1E293B"/>
          <w:sz w:val="21"/>
        </w:rPr>
        <w:t>Les anomalies détectées sont présentées à l'auditeur sous forme d'exceptions. Pour chacune, l'auditeur statue sur la qualification retenue : anomalie significative, non significative, point à approfondir ou demande d'explication adressée au client. La génération du dossier est bloquée tant qu'au moins une exception n'a pas été qualifiée.</w:t>
      </w:r>
    </w:p>
    <w:p>
      <w:pPr>
        <w:spacing w:after="120"/>
      </w:pPr>
      <w:r>
        <w:rPr>
          <w:b w:val="0"/>
          <w:i/>
          <w:color w:val="64748B"/>
          <w:sz w:val="19"/>
        </w:rPr>
        <w:t>Produit : registre des exceptions intégralement qualifiées et documentées</w:t>
      </w:r>
    </w:p>
    <w:p>
      <w:pPr>
        <w:spacing w:before="120" w:after="20"/>
        <w:keepLines/>
        <w:keepNext/>
      </w:pPr>
      <w:r>
        <w:rPr>
          <w:b/>
          <w:i w:val="0"/>
          <w:color w:val="0F1724"/>
          <w:sz w:val="22"/>
        </w:rPr>
        <w:t xml:space="preserve">7  </w:t>
      </w:r>
      <w:r>
        <w:rPr>
          <w:b/>
          <w:i w:val="0"/>
          <w:color w:val="0F1724"/>
          <w:sz w:val="22"/>
        </w:rPr>
        <w:t>Génération du dossier de travail</w:t>
      </w:r>
    </w:p>
    <w:p>
      <w:pPr>
        <w:spacing w:before="0" w:after="20"/>
      </w:pPr>
      <w:r>
        <w:rPr>
          <w:b/>
          <w:i w:val="0"/>
          <w:color w:val="2563EB"/>
          <w:sz w:val="16"/>
        </w:rPr>
        <w:t>NEP 230</w:t>
      </w:r>
    </w:p>
    <w:p>
      <w:pPr>
        <w:spacing w:after="20" w:before="0"/>
      </w:pPr>
      <w:r>
        <w:rPr>
          <w:b w:val="0"/>
          <w:i w:val="0"/>
          <w:color w:val="1E293B"/>
          <w:sz w:val="21"/>
        </w:rPr>
        <w:t>Probare génère le dossier d'audit en format PDF : synthèse de mission, feuilles de travail par contrôle, tableau des exceptions, documentation des procédures appliquées. Chaque chiffre figurant dans le dossier est lié à sa source. Le moteur de rédaction propose une première version des commentaires narratifs, que l'auditeur révise avant validation.</w:t>
      </w:r>
    </w:p>
    <w:p>
      <w:pPr>
        <w:spacing w:after="120"/>
      </w:pPr>
      <w:r>
        <w:rPr>
          <w:b w:val="0"/>
          <w:i/>
          <w:color w:val="64748B"/>
          <w:sz w:val="19"/>
        </w:rPr>
        <w:t>Produit : dossier d'audit complet en PDF avec feuilles de travail référencées</w:t>
      </w:r>
    </w:p>
    <w:p>
      <w:pPr>
        <w:spacing w:before="120" w:after="20"/>
        <w:keepLines/>
        <w:keepNext/>
      </w:pPr>
      <w:r>
        <w:rPr>
          <w:b/>
          <w:i w:val="0"/>
          <w:color w:val="0F1724"/>
          <w:sz w:val="22"/>
        </w:rPr>
        <w:t xml:space="preserve">8  </w:t>
      </w:r>
      <w:r>
        <w:rPr>
          <w:b/>
          <w:i w:val="0"/>
          <w:color w:val="0F1724"/>
          <w:sz w:val="22"/>
        </w:rPr>
        <w:t>Formation de l'opinion</w:t>
      </w:r>
    </w:p>
    <w:p>
      <w:pPr>
        <w:spacing w:before="0" w:after="20"/>
      </w:pPr>
      <w:r>
        <w:rPr>
          <w:b/>
          <w:i w:val="0"/>
          <w:color w:val="2563EB"/>
          <w:sz w:val="16"/>
        </w:rPr>
        <w:t>NEP 700</w:t>
      </w:r>
    </w:p>
    <w:p>
      <w:pPr>
        <w:spacing w:after="20" w:before="0"/>
      </w:pPr>
      <w:r>
        <w:rPr>
          <w:b w:val="0"/>
          <w:i w:val="0"/>
          <w:color w:val="1E293B"/>
          <w:sz w:val="21"/>
        </w:rPr>
        <w:t>Phase terminale. L'associé responsable de la mission formule l'opinion d'audit sur la base de l'ensemble du dossier constitué. L'opinion est horodatée, attribuée et archivée dans le dossier permanent du client. Le dossier est alors figé.</w:t>
      </w:r>
    </w:p>
    <w:p>
      <w:pPr>
        <w:spacing w:after="120"/>
      </w:pPr>
      <w:r>
        <w:rPr>
          <w:b w:val="0"/>
          <w:i/>
          <w:color w:val="64748B"/>
          <w:sz w:val="19"/>
        </w:rPr>
        <w:t>Produit : opinion formalisée, dossier clôturé et archivé</w:t>
      </w:r>
    </w:p>
    <w:p>
      <w:r>
        <w:br w:type="page"/>
      </w:r>
    </w:p>
    <w:p>
      <w:pPr>
        <w:spacing w:before="0" w:after="40"/>
      </w:pPr>
      <w:r>
        <w:rPr>
          <w:b/>
          <w:i w:val="0"/>
          <w:color w:val="2563EB"/>
          <w:sz w:val="16"/>
        </w:rPr>
        <w:t>CHAPITRE 3</w:t>
      </w:r>
    </w:p>
    <w:p>
      <w:pPr>
        <w:spacing w:before="80" w:after="40"/>
        <w:keepLines/>
        <w:keepNext/>
      </w:pPr>
      <w:r>
        <w:rPr>
          <w:b/>
          <w:i w:val="0"/>
          <w:color w:val="0F1724"/>
          <w:sz w:val="44"/>
        </w:rPr>
        <w:t>Catalogue des contrôles analytiques</w:t>
      </w:r>
    </w:p>
    <w:p>
      <w:pPr>
        <w:spacing w:before="0" w:after="160"/>
      </w:pPr>
      <w:r>
        <w:rPr>
          <w:b w:val="0"/>
          <w:i w:val="0"/>
          <w:color w:val="64748B"/>
          <w:sz w:val="22"/>
        </w:rPr>
        <w:t>52 contrôles déterministes répartis sur huit cycles, définis une fois et exécutés de façon identique pour chaque mission.</w:t>
      </w:r>
    </w:p>
    <w:p>
      <w:pPr>
        <w:spacing w:before="40" w:after="160"/>
        <w:pBdr>
          <w:bottom w:val="single" w:sz="4" w:space="1" w:color="E2E8F0"/>
        </w:pBdr>
      </w:pPr>
    </w:p>
    <w:p>
      <w:pPr>
        <w:spacing w:after="120" w:before="0"/>
      </w:pPr>
      <w:r>
        <w:rPr>
          <w:b w:val="0"/>
          <w:i w:val="0"/>
          <w:color w:val="1E293B"/>
          <w:sz w:val="21"/>
        </w:rPr>
        <w:t>Chaque contrôle est caractérisé par une référence unique, un intitulé, la norme d'exercice professionnel de rattachement et une sévérité par défaut. La sévérité oriente la qualification des exceptions : une anomalie critique bloque la génération du dossier si elle n'est pas qualifiée et documentée.</w:t>
      </w:r>
    </w:p>
    <w:p>
      <w:pPr>
        <w:spacing w:before="0" w:after="40"/>
      </w:pPr>
      <w:r>
        <w:rPr>
          <w:b/>
          <w:i w:val="0"/>
          <w:color w:val="2563EB"/>
          <w:sz w:val="16"/>
        </w:rPr>
        <w:t>TRÉSORERIE — COMPTES 51X, 53X — 8 CONTRÔLES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shd w:val="clear" w:color="auto" w:fill="0f1724"/>
          </w:tcPr>
          <w:p>
            <w:pPr>
              <w:spacing w:before="40" w:after="40"/>
            </w:pPr>
            <w:r>
              <w:rPr>
                <w:b/>
                <w:i w:val="0"/>
                <w:color w:val="FFFFFF"/>
                <w:sz w:val="18"/>
              </w:rPr>
              <w:t>Référence</w:t>
            </w:r>
          </w:p>
        </w:tc>
        <w:tc>
          <w:tcPr>
            <w:tcW w:type="dxa" w:w="5102"/>
            <w:shd w:val="clear" w:color="auto" w:fill="0f1724"/>
          </w:tcPr>
          <w:p>
            <w:pPr>
              <w:spacing w:before="40" w:after="40"/>
            </w:pPr>
            <w:r>
              <w:rPr>
                <w:b/>
                <w:i w:val="0"/>
                <w:color w:val="FFFFFF"/>
                <w:sz w:val="18"/>
              </w:rPr>
              <w:t>Intitulé</w:t>
            </w:r>
          </w:p>
        </w:tc>
        <w:tc>
          <w:tcPr>
            <w:tcW w:type="dxa" w:w="1134"/>
            <w:shd w:val="clear" w:color="auto" w:fill="0f1724"/>
          </w:tcPr>
          <w:p>
            <w:pPr>
              <w:spacing w:before="40" w:after="40"/>
            </w:pPr>
            <w:r>
              <w:rPr>
                <w:b/>
                <w:i w:val="0"/>
                <w:color w:val="FFFFFF"/>
                <w:sz w:val="18"/>
              </w:rPr>
              <w:t>NEP</w:t>
            </w:r>
          </w:p>
        </w:tc>
        <w:tc>
          <w:tcPr>
            <w:tcW w:type="dxa" w:w="1417"/>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TR-01</w:t>
            </w:r>
          </w:p>
        </w:tc>
        <w:tc>
          <w:tcPr>
            <w:tcW w:type="dxa" w:w="5102"/>
            <w:shd w:val="clear" w:color="auto" w:fill="FFFFFF"/>
          </w:tcPr>
          <w:p>
            <w:pPr>
              <w:spacing w:before="40" w:after="40"/>
            </w:pPr>
            <w:r>
              <w:rPr>
                <w:b w:val="0"/>
                <w:i w:val="0"/>
                <w:color w:val="1E293B"/>
                <w:sz w:val="19"/>
              </w:rPr>
              <w:t>Rapprochement soldes balance / grand livre</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TR-02</w:t>
            </w:r>
          </w:p>
        </w:tc>
        <w:tc>
          <w:tcPr>
            <w:tcW w:type="dxa" w:w="5102"/>
            <w:shd w:val="clear" w:color="auto" w:fill="F8FAFC"/>
          </w:tcPr>
          <w:p>
            <w:pPr>
              <w:spacing w:before="40" w:after="40"/>
            </w:pPr>
            <w:r>
              <w:rPr>
                <w:b w:val="0"/>
                <w:i w:val="0"/>
                <w:color w:val="1E293B"/>
                <w:sz w:val="19"/>
              </w:rPr>
              <w:t>Analyse comparative des soldes bancaires N / N-1</w:t>
            </w:r>
          </w:p>
        </w:tc>
        <w:tc>
          <w:tcPr>
            <w:tcW w:type="dxa" w:w="1134"/>
            <w:shd w:val="clear" w:color="auto" w:fill="F8FAFC"/>
          </w:tcPr>
          <w:p>
            <w:pPr>
              <w:spacing w:before="40" w:after="40"/>
            </w:pPr>
            <w:r>
              <w:rPr>
                <w:b w:val="0"/>
                <w:i w:val="0"/>
                <w:color w:val="1E293B"/>
                <w:sz w:val="19"/>
              </w:rPr>
              <w:t>NEP 520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TR-03</w:t>
            </w:r>
          </w:p>
        </w:tc>
        <w:tc>
          <w:tcPr>
            <w:tcW w:type="dxa" w:w="5102"/>
            <w:shd w:val="clear" w:color="auto" w:fill="FFFFFF"/>
          </w:tcPr>
          <w:p>
            <w:pPr>
              <w:spacing w:before="40" w:after="40"/>
            </w:pPr>
            <w:r>
              <w:rPr>
                <w:b w:val="0"/>
                <w:i w:val="0"/>
                <w:color w:val="1E293B"/>
                <w:sz w:val="19"/>
              </w:rPr>
              <w:t>Détection des soldes créditeurs inhabituels</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TR-04</w:t>
            </w:r>
          </w:p>
        </w:tc>
        <w:tc>
          <w:tcPr>
            <w:tcW w:type="dxa" w:w="5102"/>
            <w:shd w:val="clear" w:color="auto" w:fill="F8FAFC"/>
          </w:tcPr>
          <w:p>
            <w:pPr>
              <w:spacing w:before="40" w:after="40"/>
            </w:pPr>
            <w:r>
              <w:rPr>
                <w:b w:val="0"/>
                <w:i w:val="0"/>
                <w:color w:val="1E293B"/>
                <w:sz w:val="19"/>
              </w:rPr>
              <w:t>Analyse des mouvements d'amplitude anormale</w:t>
            </w:r>
          </w:p>
        </w:tc>
        <w:tc>
          <w:tcPr>
            <w:tcW w:type="dxa" w:w="1134"/>
            <w:shd w:val="clear" w:color="auto" w:fill="F8FAFC"/>
          </w:tcPr>
          <w:p>
            <w:pPr>
              <w:spacing w:before="40" w:after="40"/>
            </w:pPr>
            <w:r>
              <w:rPr>
                <w:b w:val="0"/>
                <w:i w:val="0"/>
                <w:color w:val="1E293B"/>
                <w:sz w:val="19"/>
              </w:rPr>
              <w:t>NEP 520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TR-05</w:t>
            </w:r>
          </w:p>
        </w:tc>
        <w:tc>
          <w:tcPr>
            <w:tcW w:type="dxa" w:w="5102"/>
            <w:shd w:val="clear" w:color="auto" w:fill="FFFFFF"/>
          </w:tcPr>
          <w:p>
            <w:pPr>
              <w:spacing w:before="40" w:after="40"/>
            </w:pPr>
            <w:r>
              <w:rPr>
                <w:b w:val="0"/>
                <w:i w:val="0"/>
                <w:color w:val="1E293B"/>
                <w:sz w:val="19"/>
              </w:rPr>
              <w:t>Vérification de la cohérence des libellés</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val="0"/>
                <w:i w:val="0"/>
                <w:color w:val="64748B"/>
                <w:sz w:val="19"/>
              </w:rPr>
              <w:t>Mineure</w:t>
            </w:r>
          </w:p>
        </w:tc>
      </w:tr>
      <w:tr>
        <w:tc>
          <w:tcPr>
            <w:tcW w:type="dxa" w:w="1417"/>
            <w:shd w:val="clear" w:color="auto" w:fill="F8FAFC"/>
          </w:tcPr>
          <w:p>
            <w:pPr>
              <w:spacing w:before="40" w:after="40"/>
            </w:pPr>
            <w:r>
              <w:rPr>
                <w:b w:val="0"/>
                <w:i w:val="0"/>
                <w:color w:val="1E293B"/>
                <w:sz w:val="19"/>
              </w:rPr>
              <w:t>TR-06</w:t>
            </w:r>
          </w:p>
        </w:tc>
        <w:tc>
          <w:tcPr>
            <w:tcW w:type="dxa" w:w="5102"/>
            <w:shd w:val="clear" w:color="auto" w:fill="F8FAFC"/>
          </w:tcPr>
          <w:p>
            <w:pPr>
              <w:spacing w:before="40" w:after="40"/>
            </w:pPr>
            <w:r>
              <w:rPr>
                <w:b w:val="0"/>
                <w:i w:val="0"/>
                <w:color w:val="1E293B"/>
                <w:sz w:val="19"/>
              </w:rPr>
              <w:t>Détection des pièces sans référence</w:t>
            </w:r>
          </w:p>
        </w:tc>
        <w:tc>
          <w:tcPr>
            <w:tcW w:type="dxa" w:w="1134"/>
            <w:shd w:val="clear" w:color="auto" w:fill="F8FAFC"/>
          </w:tcPr>
          <w:p>
            <w:pPr>
              <w:spacing w:before="40" w:after="40"/>
            </w:pPr>
            <w:r>
              <w:rPr>
                <w:b w:val="0"/>
                <w:i w:val="0"/>
                <w:color w:val="1E293B"/>
                <w:sz w:val="19"/>
              </w:rPr>
              <w:t>NEP 230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TR-07</w:t>
            </w:r>
          </w:p>
        </w:tc>
        <w:tc>
          <w:tcPr>
            <w:tcW w:type="dxa" w:w="5102"/>
            <w:shd w:val="clear" w:color="auto" w:fill="FFFFFF"/>
          </w:tcPr>
          <w:p>
            <w:pPr>
              <w:spacing w:before="40" w:after="40"/>
            </w:pPr>
            <w:r>
              <w:rPr>
                <w:b w:val="0"/>
                <w:i w:val="0"/>
                <w:color w:val="1E293B"/>
                <w:sz w:val="19"/>
              </w:rPr>
              <w:t>Contrôle des doublons de pièces</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TR-08</w:t>
            </w:r>
          </w:p>
        </w:tc>
        <w:tc>
          <w:tcPr>
            <w:tcW w:type="dxa" w:w="5102"/>
            <w:shd w:val="clear" w:color="auto" w:fill="F8FAFC"/>
          </w:tcPr>
          <w:p>
            <w:pPr>
              <w:spacing w:before="40" w:after="40"/>
            </w:pPr>
            <w:r>
              <w:rPr>
                <w:b w:val="0"/>
                <w:i w:val="0"/>
                <w:color w:val="1E293B"/>
                <w:sz w:val="19"/>
              </w:rPr>
              <w:t>Analyse de la concentration des mouvements par compte</w:t>
            </w:r>
          </w:p>
        </w:tc>
        <w:tc>
          <w:tcPr>
            <w:tcW w:type="dxa" w:w="1134"/>
            <w:shd w:val="clear" w:color="auto" w:fill="F8FAFC"/>
          </w:tcPr>
          <w:p>
            <w:pPr>
              <w:spacing w:before="40" w:after="40"/>
            </w:pPr>
            <w:r>
              <w:rPr>
                <w:b w:val="0"/>
                <w:i w:val="0"/>
                <w:color w:val="1E293B"/>
                <w:sz w:val="19"/>
              </w:rPr>
              <w:t>NEP 520</w:t>
            </w:r>
          </w:p>
        </w:tc>
        <w:tc>
          <w:tcPr>
            <w:tcW w:type="dxa" w:w="1417"/>
            <w:shd w:val="clear" w:color="auto" w:fill="F8FAFC"/>
          </w:tcPr>
          <w:p>
            <w:pPr>
              <w:spacing w:before="40" w:after="40"/>
            </w:pPr>
            <w:r>
              <w:rPr>
                <w:b w:val="0"/>
                <w:i w:val="0"/>
                <w:color w:val="64748B"/>
                <w:sz w:val="19"/>
              </w:rPr>
              <w:t>Mineure</w:t>
            </w:r>
          </w:p>
        </w:tc>
      </w:tr>
    </w:tbl>
    <w:p>
      <w:pPr>
        <w:spacing w:after="80"/>
      </w:pPr>
    </w:p>
    <w:p>
      <w:pPr>
        <w:spacing w:before="0" w:after="40"/>
      </w:pPr>
      <w:r>
        <w:rPr>
          <w:b/>
          <w:i w:val="0"/>
          <w:color w:val="2563EB"/>
          <w:sz w:val="16"/>
        </w:rPr>
        <w:t>ACHATS — FOURNISSEURS — COMPTES 40X, 60X — 9 CONTRÔLES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shd w:val="clear" w:color="auto" w:fill="0f1724"/>
          </w:tcPr>
          <w:p>
            <w:pPr>
              <w:spacing w:before="40" w:after="40"/>
            </w:pPr>
            <w:r>
              <w:rPr>
                <w:b/>
                <w:i w:val="0"/>
                <w:color w:val="FFFFFF"/>
                <w:sz w:val="18"/>
              </w:rPr>
              <w:t>Référence</w:t>
            </w:r>
          </w:p>
        </w:tc>
        <w:tc>
          <w:tcPr>
            <w:tcW w:type="dxa" w:w="5102"/>
            <w:shd w:val="clear" w:color="auto" w:fill="0f1724"/>
          </w:tcPr>
          <w:p>
            <w:pPr>
              <w:spacing w:before="40" w:after="40"/>
            </w:pPr>
            <w:r>
              <w:rPr>
                <w:b/>
                <w:i w:val="0"/>
                <w:color w:val="FFFFFF"/>
                <w:sz w:val="18"/>
              </w:rPr>
              <w:t>Intitulé</w:t>
            </w:r>
          </w:p>
        </w:tc>
        <w:tc>
          <w:tcPr>
            <w:tcW w:type="dxa" w:w="1134"/>
            <w:shd w:val="clear" w:color="auto" w:fill="0f1724"/>
          </w:tcPr>
          <w:p>
            <w:pPr>
              <w:spacing w:before="40" w:after="40"/>
            </w:pPr>
            <w:r>
              <w:rPr>
                <w:b/>
                <w:i w:val="0"/>
                <w:color w:val="FFFFFF"/>
                <w:sz w:val="18"/>
              </w:rPr>
              <w:t>NEP</w:t>
            </w:r>
          </w:p>
        </w:tc>
        <w:tc>
          <w:tcPr>
            <w:tcW w:type="dxa" w:w="1417"/>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AC-01</w:t>
            </w:r>
          </w:p>
        </w:tc>
        <w:tc>
          <w:tcPr>
            <w:tcW w:type="dxa" w:w="5102"/>
            <w:shd w:val="clear" w:color="auto" w:fill="FFFFFF"/>
          </w:tcPr>
          <w:p>
            <w:pPr>
              <w:spacing w:before="40" w:after="40"/>
            </w:pPr>
            <w:r>
              <w:rPr>
                <w:b w:val="0"/>
                <w:i w:val="0"/>
                <w:color w:val="1E293B"/>
                <w:sz w:val="19"/>
              </w:rPr>
              <w:t>Rapprochement soldes fournisseurs balance / grand livre</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AC-02</w:t>
            </w:r>
          </w:p>
        </w:tc>
        <w:tc>
          <w:tcPr>
            <w:tcW w:type="dxa" w:w="5102"/>
            <w:shd w:val="clear" w:color="auto" w:fill="F8FAFC"/>
          </w:tcPr>
          <w:p>
            <w:pPr>
              <w:spacing w:before="40" w:after="40"/>
            </w:pPr>
            <w:r>
              <w:rPr>
                <w:b w:val="0"/>
                <w:i w:val="0"/>
                <w:color w:val="1E293B"/>
                <w:sz w:val="19"/>
              </w:rPr>
              <w:t>Analyse de la variation des soldes fournisseurs N / N-1</w:t>
            </w:r>
          </w:p>
        </w:tc>
        <w:tc>
          <w:tcPr>
            <w:tcW w:type="dxa" w:w="1134"/>
            <w:shd w:val="clear" w:color="auto" w:fill="F8FAFC"/>
          </w:tcPr>
          <w:p>
            <w:pPr>
              <w:spacing w:before="40" w:after="40"/>
            </w:pPr>
            <w:r>
              <w:rPr>
                <w:b w:val="0"/>
                <w:i w:val="0"/>
                <w:color w:val="1E293B"/>
                <w:sz w:val="19"/>
              </w:rPr>
              <w:t>NEP 520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AC-03</w:t>
            </w:r>
          </w:p>
        </w:tc>
        <w:tc>
          <w:tcPr>
            <w:tcW w:type="dxa" w:w="5102"/>
            <w:shd w:val="clear" w:color="auto" w:fill="FFFFFF"/>
          </w:tcPr>
          <w:p>
            <w:pPr>
              <w:spacing w:before="40" w:after="40"/>
            </w:pPr>
            <w:r>
              <w:rPr>
                <w:b w:val="0"/>
                <w:i w:val="0"/>
                <w:color w:val="1E293B"/>
                <w:sz w:val="19"/>
              </w:rPr>
              <w:t>Détection des soldes débiteurs fournisseurs</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AC-04</w:t>
            </w:r>
          </w:p>
        </w:tc>
        <w:tc>
          <w:tcPr>
            <w:tcW w:type="dxa" w:w="5102"/>
            <w:shd w:val="clear" w:color="auto" w:fill="F8FAFC"/>
          </w:tcPr>
          <w:p>
            <w:pPr>
              <w:spacing w:before="40" w:after="40"/>
            </w:pPr>
            <w:r>
              <w:rPr>
                <w:b w:val="0"/>
                <w:i w:val="0"/>
                <w:color w:val="1E293B"/>
                <w:sz w:val="19"/>
              </w:rPr>
              <w:t>Analyse des achats sans bon de commande</w:t>
            </w:r>
          </w:p>
        </w:tc>
        <w:tc>
          <w:tcPr>
            <w:tcW w:type="dxa" w:w="1134"/>
            <w:shd w:val="clear" w:color="auto" w:fill="F8FAFC"/>
          </w:tcPr>
          <w:p>
            <w:pPr>
              <w:spacing w:before="40" w:after="40"/>
            </w:pPr>
            <w:r>
              <w:rPr>
                <w:b w:val="0"/>
                <w:i w:val="0"/>
                <w:color w:val="1E293B"/>
                <w:sz w:val="19"/>
              </w:rPr>
              <w:t>NEP 315</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AC-05</w:t>
            </w:r>
          </w:p>
        </w:tc>
        <w:tc>
          <w:tcPr>
            <w:tcW w:type="dxa" w:w="5102"/>
            <w:shd w:val="clear" w:color="auto" w:fill="FFFFFF"/>
          </w:tcPr>
          <w:p>
            <w:pPr>
              <w:spacing w:before="40" w:after="40"/>
            </w:pPr>
            <w:r>
              <w:rPr>
                <w:b w:val="0"/>
                <w:i w:val="0"/>
                <w:color w:val="1E293B"/>
                <w:sz w:val="19"/>
              </w:rPr>
              <w:t>Concentration des achats — fournisseurs représentant plus de 20 %</w:t>
            </w:r>
          </w:p>
        </w:tc>
        <w:tc>
          <w:tcPr>
            <w:tcW w:type="dxa" w:w="1134"/>
            <w:shd w:val="clear" w:color="auto" w:fill="FFFFFF"/>
          </w:tcPr>
          <w:p>
            <w:pPr>
              <w:spacing w:before="40" w:after="40"/>
            </w:pPr>
            <w:r>
              <w:rPr>
                <w:b w:val="0"/>
                <w:i w:val="0"/>
                <w:color w:val="1E293B"/>
                <w:sz w:val="19"/>
              </w:rPr>
              <w:t>NEP 520</w:t>
            </w:r>
          </w:p>
        </w:tc>
        <w:tc>
          <w:tcPr>
            <w:tcW w:type="dxa" w:w="1417"/>
            <w:shd w:val="clear" w:color="auto" w:fill="FFFFFF"/>
          </w:tcPr>
          <w:p>
            <w:pPr>
              <w:spacing w:before="40" w:after="40"/>
            </w:pPr>
            <w:r>
              <w:rPr>
                <w:b/>
                <w:i w:val="0"/>
                <w:color w:val="D97706"/>
                <w:sz w:val="19"/>
              </w:rPr>
              <w:t>Significative</w:t>
            </w:r>
          </w:p>
        </w:tc>
      </w:tr>
      <w:tr>
        <w:tc>
          <w:tcPr>
            <w:tcW w:type="dxa" w:w="1417"/>
            <w:shd w:val="clear" w:color="auto" w:fill="F8FAFC"/>
          </w:tcPr>
          <w:p>
            <w:pPr>
              <w:spacing w:before="40" w:after="40"/>
            </w:pPr>
            <w:r>
              <w:rPr>
                <w:b w:val="0"/>
                <w:i w:val="0"/>
                <w:color w:val="1E293B"/>
                <w:sz w:val="19"/>
              </w:rPr>
              <w:t>AC-06</w:t>
            </w:r>
          </w:p>
        </w:tc>
        <w:tc>
          <w:tcPr>
            <w:tcW w:type="dxa" w:w="5102"/>
            <w:shd w:val="clear" w:color="auto" w:fill="F8FAFC"/>
          </w:tcPr>
          <w:p>
            <w:pPr>
              <w:spacing w:before="40" w:after="40"/>
            </w:pPr>
            <w:r>
              <w:rPr>
                <w:b w:val="0"/>
                <w:i w:val="0"/>
                <w:color w:val="1E293B"/>
                <w:sz w:val="19"/>
              </w:rPr>
              <w:t>Vérification du cut-off achats de fin d'exercice</w:t>
            </w:r>
          </w:p>
        </w:tc>
        <w:tc>
          <w:tcPr>
            <w:tcW w:type="dxa" w:w="1134"/>
            <w:shd w:val="clear" w:color="auto" w:fill="F8FAFC"/>
          </w:tcPr>
          <w:p>
            <w:pPr>
              <w:spacing w:before="40" w:after="40"/>
            </w:pPr>
            <w:r>
              <w:rPr>
                <w:b w:val="0"/>
                <w:i w:val="0"/>
                <w:color w:val="1E293B"/>
                <w:sz w:val="19"/>
              </w:rPr>
              <w:t>NEP 540</w:t>
            </w:r>
          </w:p>
        </w:tc>
        <w:tc>
          <w:tcPr>
            <w:tcW w:type="dxa" w:w="1417"/>
            <w:shd w:val="clear" w:color="auto" w:fill="F8FAFC"/>
          </w:tcPr>
          <w:p>
            <w:pPr>
              <w:spacing w:before="40" w:after="40"/>
            </w:pPr>
            <w:r>
              <w:rPr>
                <w:b/>
                <w:i w:val="0"/>
                <w:color w:val="DC2626"/>
                <w:sz w:val="19"/>
              </w:rPr>
              <w:t>Critique</w:t>
            </w:r>
          </w:p>
        </w:tc>
      </w:tr>
      <w:tr>
        <w:tc>
          <w:tcPr>
            <w:tcW w:type="dxa" w:w="1417"/>
            <w:shd w:val="clear" w:color="auto" w:fill="FFFFFF"/>
          </w:tcPr>
          <w:p>
            <w:pPr>
              <w:spacing w:before="40" w:after="40"/>
            </w:pPr>
            <w:r>
              <w:rPr>
                <w:b w:val="0"/>
                <w:i w:val="0"/>
                <w:color w:val="1E293B"/>
                <w:sz w:val="19"/>
              </w:rPr>
              <w:t>AC-07</w:t>
            </w:r>
          </w:p>
        </w:tc>
        <w:tc>
          <w:tcPr>
            <w:tcW w:type="dxa" w:w="5102"/>
            <w:shd w:val="clear" w:color="auto" w:fill="FFFFFF"/>
          </w:tcPr>
          <w:p>
            <w:pPr>
              <w:spacing w:before="40" w:after="40"/>
            </w:pPr>
            <w:r>
              <w:rPr>
                <w:b w:val="0"/>
                <w:i w:val="0"/>
                <w:color w:val="1E293B"/>
                <w:sz w:val="19"/>
              </w:rPr>
              <w:t>Contrôle des avoirs fournisseurs non soldés</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val="0"/>
                <w:i w:val="0"/>
                <w:color w:val="64748B"/>
                <w:sz w:val="19"/>
              </w:rPr>
              <w:t>Mineure</w:t>
            </w:r>
          </w:p>
        </w:tc>
      </w:tr>
      <w:tr>
        <w:tc>
          <w:tcPr>
            <w:tcW w:type="dxa" w:w="1417"/>
            <w:shd w:val="clear" w:color="auto" w:fill="F8FAFC"/>
          </w:tcPr>
          <w:p>
            <w:pPr>
              <w:spacing w:before="40" w:after="40"/>
            </w:pPr>
            <w:r>
              <w:rPr>
                <w:b w:val="0"/>
                <w:i w:val="0"/>
                <w:color w:val="1E293B"/>
                <w:sz w:val="19"/>
              </w:rPr>
              <w:t>AC-08</w:t>
            </w:r>
          </w:p>
        </w:tc>
        <w:tc>
          <w:tcPr>
            <w:tcW w:type="dxa" w:w="5102"/>
            <w:shd w:val="clear" w:color="auto" w:fill="F8FAFC"/>
          </w:tcPr>
          <w:p>
            <w:pPr>
              <w:spacing w:before="40" w:after="40"/>
            </w:pPr>
            <w:r>
              <w:rPr>
                <w:b w:val="0"/>
                <w:i w:val="0"/>
                <w:color w:val="1E293B"/>
                <w:sz w:val="19"/>
              </w:rPr>
              <w:t>Détection des doublons de factures</w:t>
            </w:r>
          </w:p>
        </w:tc>
        <w:tc>
          <w:tcPr>
            <w:tcW w:type="dxa" w:w="1134"/>
            <w:shd w:val="clear" w:color="auto" w:fill="F8FAFC"/>
          </w:tcPr>
          <w:p>
            <w:pPr>
              <w:spacing w:before="40" w:after="40"/>
            </w:pPr>
            <w:r>
              <w:rPr>
                <w:b w:val="0"/>
                <w:i w:val="0"/>
                <w:color w:val="1E293B"/>
                <w:sz w:val="19"/>
              </w:rPr>
              <w:t>NEP 500</w:t>
            </w:r>
          </w:p>
        </w:tc>
        <w:tc>
          <w:tcPr>
            <w:tcW w:type="dxa" w:w="1417"/>
            <w:shd w:val="clear" w:color="auto" w:fill="F8FAFC"/>
          </w:tcPr>
          <w:p>
            <w:pPr>
              <w:spacing w:before="40" w:after="40"/>
            </w:pPr>
            <w:r>
              <w:rPr>
                <w:b/>
                <w:i w:val="0"/>
                <w:color w:val="DC2626"/>
                <w:sz w:val="19"/>
              </w:rPr>
              <w:t>Critique</w:t>
            </w:r>
          </w:p>
        </w:tc>
      </w:tr>
      <w:tr>
        <w:tc>
          <w:tcPr>
            <w:tcW w:type="dxa" w:w="1417"/>
            <w:shd w:val="clear" w:color="auto" w:fill="FFFFFF"/>
          </w:tcPr>
          <w:p>
            <w:pPr>
              <w:spacing w:before="40" w:after="40"/>
            </w:pPr>
            <w:r>
              <w:rPr>
                <w:b w:val="0"/>
                <w:i w:val="0"/>
                <w:color w:val="1E293B"/>
                <w:sz w:val="19"/>
              </w:rPr>
              <w:t>AC-09</w:t>
            </w:r>
          </w:p>
        </w:tc>
        <w:tc>
          <w:tcPr>
            <w:tcW w:type="dxa" w:w="5102"/>
            <w:shd w:val="clear" w:color="auto" w:fill="FFFFFF"/>
          </w:tcPr>
          <w:p>
            <w:pPr>
              <w:spacing w:before="40" w:after="40"/>
            </w:pPr>
            <w:r>
              <w:rPr>
                <w:b w:val="0"/>
                <w:i w:val="0"/>
                <w:color w:val="1E293B"/>
                <w:sz w:val="19"/>
              </w:rPr>
              <w:t>Analyse des charges exceptionnelles imputées aux achats</w:t>
            </w:r>
          </w:p>
        </w:tc>
        <w:tc>
          <w:tcPr>
            <w:tcW w:type="dxa" w:w="1134"/>
            <w:shd w:val="clear" w:color="auto" w:fill="FFFFFF"/>
          </w:tcPr>
          <w:p>
            <w:pPr>
              <w:spacing w:before="40" w:after="40"/>
            </w:pPr>
            <w:r>
              <w:rPr>
                <w:b w:val="0"/>
                <w:i w:val="0"/>
                <w:color w:val="1E293B"/>
                <w:sz w:val="19"/>
              </w:rPr>
              <w:t>NEP 520</w:t>
            </w:r>
          </w:p>
        </w:tc>
        <w:tc>
          <w:tcPr>
            <w:tcW w:type="dxa" w:w="1417"/>
            <w:shd w:val="clear" w:color="auto" w:fill="FFFFFF"/>
          </w:tcPr>
          <w:p>
            <w:pPr>
              <w:spacing w:before="40" w:after="40"/>
            </w:pPr>
            <w:r>
              <w:rPr>
                <w:b/>
                <w:i w:val="0"/>
                <w:color w:val="D97706"/>
                <w:sz w:val="19"/>
              </w:rPr>
              <w:t>Significative</w:t>
            </w:r>
          </w:p>
        </w:tc>
      </w:tr>
    </w:tbl>
    <w:p>
      <w:pPr>
        <w:spacing w:after="80"/>
      </w:pPr>
    </w:p>
    <w:p>
      <w:pPr>
        <w:spacing w:before="0" w:after="40"/>
      </w:pPr>
      <w:r>
        <w:rPr>
          <w:b/>
          <w:i w:val="0"/>
          <w:color w:val="2563EB"/>
          <w:sz w:val="16"/>
        </w:rPr>
        <w:t>VENTES — CLIENTS — COMPTES 41X, 70X — 10 CONTRÔLES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shd w:val="clear" w:color="auto" w:fill="0f1724"/>
          </w:tcPr>
          <w:p>
            <w:pPr>
              <w:spacing w:before="40" w:after="40"/>
            </w:pPr>
            <w:r>
              <w:rPr>
                <w:b/>
                <w:i w:val="0"/>
                <w:color w:val="FFFFFF"/>
                <w:sz w:val="18"/>
              </w:rPr>
              <w:t>Référence</w:t>
            </w:r>
          </w:p>
        </w:tc>
        <w:tc>
          <w:tcPr>
            <w:tcW w:type="dxa" w:w="5102"/>
            <w:shd w:val="clear" w:color="auto" w:fill="0f1724"/>
          </w:tcPr>
          <w:p>
            <w:pPr>
              <w:spacing w:before="40" w:after="40"/>
            </w:pPr>
            <w:r>
              <w:rPr>
                <w:b/>
                <w:i w:val="0"/>
                <w:color w:val="FFFFFF"/>
                <w:sz w:val="18"/>
              </w:rPr>
              <w:t>Intitulé</w:t>
            </w:r>
          </w:p>
        </w:tc>
        <w:tc>
          <w:tcPr>
            <w:tcW w:type="dxa" w:w="1134"/>
            <w:shd w:val="clear" w:color="auto" w:fill="0f1724"/>
          </w:tcPr>
          <w:p>
            <w:pPr>
              <w:spacing w:before="40" w:after="40"/>
            </w:pPr>
            <w:r>
              <w:rPr>
                <w:b/>
                <w:i w:val="0"/>
                <w:color w:val="FFFFFF"/>
                <w:sz w:val="18"/>
              </w:rPr>
              <w:t>NEP</w:t>
            </w:r>
          </w:p>
        </w:tc>
        <w:tc>
          <w:tcPr>
            <w:tcW w:type="dxa" w:w="1417"/>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VE-01</w:t>
            </w:r>
          </w:p>
        </w:tc>
        <w:tc>
          <w:tcPr>
            <w:tcW w:type="dxa" w:w="5102"/>
            <w:shd w:val="clear" w:color="auto" w:fill="FFFFFF"/>
          </w:tcPr>
          <w:p>
            <w:pPr>
              <w:spacing w:before="40" w:after="40"/>
            </w:pPr>
            <w:r>
              <w:rPr>
                <w:b w:val="0"/>
                <w:i w:val="0"/>
                <w:color w:val="1E293B"/>
                <w:sz w:val="19"/>
              </w:rPr>
              <w:t>Rapprochement soldes clients balance / grand livre</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VE-02</w:t>
            </w:r>
          </w:p>
        </w:tc>
        <w:tc>
          <w:tcPr>
            <w:tcW w:type="dxa" w:w="5102"/>
            <w:shd w:val="clear" w:color="auto" w:fill="F8FAFC"/>
          </w:tcPr>
          <w:p>
            <w:pPr>
              <w:spacing w:before="40" w:after="40"/>
            </w:pPr>
            <w:r>
              <w:rPr>
                <w:b w:val="0"/>
                <w:i w:val="0"/>
                <w:color w:val="1E293B"/>
                <w:sz w:val="19"/>
              </w:rPr>
              <w:t>Analyse de la variation du chiffre d'affaires N / N-1</w:t>
            </w:r>
          </w:p>
        </w:tc>
        <w:tc>
          <w:tcPr>
            <w:tcW w:type="dxa" w:w="1134"/>
            <w:shd w:val="clear" w:color="auto" w:fill="F8FAFC"/>
          </w:tcPr>
          <w:p>
            <w:pPr>
              <w:spacing w:before="40" w:after="40"/>
            </w:pPr>
            <w:r>
              <w:rPr>
                <w:b w:val="0"/>
                <w:i w:val="0"/>
                <w:color w:val="1E293B"/>
                <w:sz w:val="19"/>
              </w:rPr>
              <w:t>NEP 520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VE-03</w:t>
            </w:r>
          </w:p>
        </w:tc>
        <w:tc>
          <w:tcPr>
            <w:tcW w:type="dxa" w:w="5102"/>
            <w:shd w:val="clear" w:color="auto" w:fill="FFFFFF"/>
          </w:tcPr>
          <w:p>
            <w:pPr>
              <w:spacing w:before="40" w:after="40"/>
            </w:pPr>
            <w:r>
              <w:rPr>
                <w:b w:val="0"/>
                <w:i w:val="0"/>
                <w:color w:val="1E293B"/>
                <w:sz w:val="19"/>
              </w:rPr>
              <w:t>Détection des soldes créditeurs clients</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VE-04</w:t>
            </w:r>
          </w:p>
        </w:tc>
        <w:tc>
          <w:tcPr>
            <w:tcW w:type="dxa" w:w="5102"/>
            <w:shd w:val="clear" w:color="auto" w:fill="F8FAFC"/>
          </w:tcPr>
          <w:p>
            <w:pPr>
              <w:spacing w:before="40" w:after="40"/>
            </w:pPr>
            <w:r>
              <w:rPr>
                <w:b w:val="0"/>
                <w:i w:val="0"/>
                <w:color w:val="1E293B"/>
                <w:sz w:val="19"/>
              </w:rPr>
              <w:t>Analyse des avoirs clients significatifs</w:t>
            </w:r>
          </w:p>
        </w:tc>
        <w:tc>
          <w:tcPr>
            <w:tcW w:type="dxa" w:w="1134"/>
            <w:shd w:val="clear" w:color="auto" w:fill="F8FAFC"/>
          </w:tcPr>
          <w:p>
            <w:pPr>
              <w:spacing w:before="40" w:after="40"/>
            </w:pPr>
            <w:r>
              <w:rPr>
                <w:b w:val="0"/>
                <w:i w:val="0"/>
                <w:color w:val="1E293B"/>
                <w:sz w:val="19"/>
              </w:rPr>
              <w:t>NEP 540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VE-05</w:t>
            </w:r>
          </w:p>
        </w:tc>
        <w:tc>
          <w:tcPr>
            <w:tcW w:type="dxa" w:w="5102"/>
            <w:shd w:val="clear" w:color="auto" w:fill="FFFFFF"/>
          </w:tcPr>
          <w:p>
            <w:pPr>
              <w:spacing w:before="40" w:after="40"/>
            </w:pPr>
            <w:r>
              <w:rPr>
                <w:b w:val="0"/>
                <w:i w:val="0"/>
                <w:color w:val="1E293B"/>
                <w:sz w:val="19"/>
              </w:rPr>
              <w:t>Vérification du cut-off ventes de fin d'exercice</w:t>
            </w:r>
          </w:p>
        </w:tc>
        <w:tc>
          <w:tcPr>
            <w:tcW w:type="dxa" w:w="1134"/>
            <w:shd w:val="clear" w:color="auto" w:fill="FFFFFF"/>
          </w:tcPr>
          <w:p>
            <w:pPr>
              <w:spacing w:before="40" w:after="40"/>
            </w:pPr>
            <w:r>
              <w:rPr>
                <w:b w:val="0"/>
                <w:i w:val="0"/>
                <w:color w:val="1E293B"/>
                <w:sz w:val="19"/>
              </w:rPr>
              <w:t>NEP 540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VE-06</w:t>
            </w:r>
          </w:p>
        </w:tc>
        <w:tc>
          <w:tcPr>
            <w:tcW w:type="dxa" w:w="5102"/>
            <w:shd w:val="clear" w:color="auto" w:fill="F8FAFC"/>
          </w:tcPr>
          <w:p>
            <w:pPr>
              <w:spacing w:before="40" w:after="40"/>
            </w:pPr>
            <w:r>
              <w:rPr>
                <w:b w:val="0"/>
                <w:i w:val="0"/>
                <w:color w:val="1E293B"/>
                <w:sz w:val="19"/>
              </w:rPr>
              <w:t>Contrôle des créances douteuses et des provisions</w:t>
            </w:r>
          </w:p>
        </w:tc>
        <w:tc>
          <w:tcPr>
            <w:tcW w:type="dxa" w:w="1134"/>
            <w:shd w:val="clear" w:color="auto" w:fill="F8FAFC"/>
          </w:tcPr>
          <w:p>
            <w:pPr>
              <w:spacing w:before="40" w:after="40"/>
            </w:pPr>
            <w:r>
              <w:rPr>
                <w:b w:val="0"/>
                <w:i w:val="0"/>
                <w:color w:val="1E293B"/>
                <w:sz w:val="19"/>
              </w:rPr>
              <w:t>NEP 540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VE-07</w:t>
            </w:r>
          </w:p>
        </w:tc>
        <w:tc>
          <w:tcPr>
            <w:tcW w:type="dxa" w:w="5102"/>
            <w:shd w:val="clear" w:color="auto" w:fill="FFFFFF"/>
          </w:tcPr>
          <w:p>
            <w:pPr>
              <w:spacing w:before="40" w:after="40"/>
            </w:pPr>
            <w:r>
              <w:rPr>
                <w:b w:val="0"/>
                <w:i w:val="0"/>
                <w:color w:val="1E293B"/>
                <w:sz w:val="19"/>
              </w:rPr>
              <w:t>Analyse des remises et ristournes accordées</w:t>
            </w:r>
          </w:p>
        </w:tc>
        <w:tc>
          <w:tcPr>
            <w:tcW w:type="dxa" w:w="1134"/>
            <w:shd w:val="clear" w:color="auto" w:fill="FFFFFF"/>
          </w:tcPr>
          <w:p>
            <w:pPr>
              <w:spacing w:before="40" w:after="40"/>
            </w:pPr>
            <w:r>
              <w:rPr>
                <w:b w:val="0"/>
                <w:i w:val="0"/>
                <w:color w:val="1E293B"/>
                <w:sz w:val="19"/>
              </w:rPr>
              <w:t>NEP 520</w:t>
            </w:r>
          </w:p>
        </w:tc>
        <w:tc>
          <w:tcPr>
            <w:tcW w:type="dxa" w:w="1417"/>
            <w:shd w:val="clear" w:color="auto" w:fill="FFFFFF"/>
          </w:tcPr>
          <w:p>
            <w:pPr>
              <w:spacing w:before="40" w:after="40"/>
            </w:pPr>
            <w:r>
              <w:rPr>
                <w:b w:val="0"/>
                <w:i w:val="0"/>
                <w:color w:val="64748B"/>
                <w:sz w:val="19"/>
              </w:rPr>
              <w:t>Mineure</w:t>
            </w:r>
          </w:p>
        </w:tc>
      </w:tr>
      <w:tr>
        <w:tc>
          <w:tcPr>
            <w:tcW w:type="dxa" w:w="1417"/>
            <w:shd w:val="clear" w:color="auto" w:fill="F8FAFC"/>
          </w:tcPr>
          <w:p>
            <w:pPr>
              <w:spacing w:before="40" w:after="40"/>
            </w:pPr>
            <w:r>
              <w:rPr>
                <w:b w:val="0"/>
                <w:i w:val="0"/>
                <w:color w:val="1E293B"/>
                <w:sz w:val="19"/>
              </w:rPr>
              <w:t>VE-08</w:t>
            </w:r>
          </w:p>
        </w:tc>
        <w:tc>
          <w:tcPr>
            <w:tcW w:type="dxa" w:w="5102"/>
            <w:shd w:val="clear" w:color="auto" w:fill="F8FAFC"/>
          </w:tcPr>
          <w:p>
            <w:pPr>
              <w:spacing w:before="40" w:after="40"/>
            </w:pPr>
            <w:r>
              <w:rPr>
                <w:b w:val="0"/>
                <w:i w:val="0"/>
                <w:color w:val="1E293B"/>
                <w:sz w:val="19"/>
              </w:rPr>
              <w:t>Concentration clients — clients représentant plus de 20 % du CA</w:t>
            </w:r>
          </w:p>
        </w:tc>
        <w:tc>
          <w:tcPr>
            <w:tcW w:type="dxa" w:w="1134"/>
            <w:shd w:val="clear" w:color="auto" w:fill="F8FAFC"/>
          </w:tcPr>
          <w:p>
            <w:pPr>
              <w:spacing w:before="40" w:after="40"/>
            </w:pPr>
            <w:r>
              <w:rPr>
                <w:b w:val="0"/>
                <w:i w:val="0"/>
                <w:color w:val="1E293B"/>
                <w:sz w:val="19"/>
              </w:rPr>
              <w:t>NEP 520</w:t>
            </w:r>
          </w:p>
        </w:tc>
        <w:tc>
          <w:tcPr>
            <w:tcW w:type="dxa" w:w="1417"/>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VE-09</w:t>
            </w:r>
          </w:p>
        </w:tc>
        <w:tc>
          <w:tcPr>
            <w:tcW w:type="dxa" w:w="5102"/>
            <w:shd w:val="clear" w:color="auto" w:fill="FFFFFF"/>
          </w:tcPr>
          <w:p>
            <w:pPr>
              <w:spacing w:before="40" w:after="40"/>
            </w:pPr>
            <w:r>
              <w:rPr>
                <w:b w:val="0"/>
                <w:i w:val="0"/>
                <w:color w:val="1E293B"/>
                <w:sz w:val="19"/>
              </w:rPr>
              <w:t>Détection des doublons de facturation</w:t>
            </w:r>
          </w:p>
        </w:tc>
        <w:tc>
          <w:tcPr>
            <w:tcW w:type="dxa" w:w="1134"/>
            <w:shd w:val="clear" w:color="auto" w:fill="FFFFFF"/>
          </w:tcPr>
          <w:p>
            <w:pPr>
              <w:spacing w:before="40" w:after="40"/>
            </w:pPr>
            <w:r>
              <w:rPr>
                <w:b w:val="0"/>
                <w:i w:val="0"/>
                <w:color w:val="1E293B"/>
                <w:sz w:val="19"/>
              </w:rPr>
              <w:t>NEP 500</w:t>
            </w:r>
          </w:p>
        </w:tc>
        <w:tc>
          <w:tcPr>
            <w:tcW w:type="dxa" w:w="1417"/>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VE-10</w:t>
            </w:r>
          </w:p>
        </w:tc>
        <w:tc>
          <w:tcPr>
            <w:tcW w:type="dxa" w:w="5102"/>
            <w:shd w:val="clear" w:color="auto" w:fill="F8FAFC"/>
          </w:tcPr>
          <w:p>
            <w:pPr>
              <w:spacing w:before="40" w:after="40"/>
            </w:pPr>
            <w:r>
              <w:rPr>
                <w:b w:val="0"/>
                <w:i w:val="0"/>
                <w:color w:val="1E293B"/>
                <w:sz w:val="19"/>
              </w:rPr>
              <w:t>Analyse de la saisonnalité du chiffre d'affaires</w:t>
            </w:r>
          </w:p>
        </w:tc>
        <w:tc>
          <w:tcPr>
            <w:tcW w:type="dxa" w:w="1134"/>
            <w:shd w:val="clear" w:color="auto" w:fill="F8FAFC"/>
          </w:tcPr>
          <w:p>
            <w:pPr>
              <w:spacing w:before="40" w:after="40"/>
            </w:pPr>
            <w:r>
              <w:rPr>
                <w:b w:val="0"/>
                <w:i w:val="0"/>
                <w:color w:val="1E293B"/>
                <w:sz w:val="19"/>
              </w:rPr>
              <w:t>NEP 520</w:t>
            </w:r>
          </w:p>
        </w:tc>
        <w:tc>
          <w:tcPr>
            <w:tcW w:type="dxa" w:w="1417"/>
            <w:shd w:val="clear" w:color="auto" w:fill="F8FAFC"/>
          </w:tcPr>
          <w:p>
            <w:pPr>
              <w:spacing w:before="40" w:after="40"/>
            </w:pPr>
            <w:r>
              <w:rPr>
                <w:b w:val="0"/>
                <w:i w:val="0"/>
                <w:color w:val="64748B"/>
                <w:sz w:val="19"/>
              </w:rPr>
              <w:t>Mineure</w:t>
            </w:r>
          </w:p>
        </w:tc>
      </w:tr>
    </w:tbl>
    <w:p>
      <w:pPr>
        <w:spacing w:after="80"/>
      </w:pPr>
    </w:p>
    <w:p>
      <w:pPr>
        <w:spacing w:before="0" w:after="40"/>
      </w:pPr>
      <w:r>
        <w:rPr>
          <w:b/>
          <w:i w:val="0"/>
          <w:color w:val="2563EB"/>
          <w:sz w:val="16"/>
        </w:rPr>
        <w:t>IMMOBILISATIONS — COMPTES 2XX — 5 CONTRÔLES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0f1724"/>
          </w:tcPr>
          <w:p>
            <w:pPr>
              <w:spacing w:before="40" w:after="40"/>
            </w:pPr>
            <w:r>
              <w:rPr>
                <w:b/>
                <w:i w:val="0"/>
                <w:color w:val="FFFFFF"/>
                <w:sz w:val="18"/>
              </w:rPr>
              <w:t>Réf.</w:t>
            </w:r>
          </w:p>
        </w:tc>
        <w:tc>
          <w:tcPr>
            <w:tcW w:type="dxa" w:w="5953"/>
            <w:shd w:val="clear" w:color="auto" w:fill="0f1724"/>
          </w:tcPr>
          <w:p>
            <w:pPr>
              <w:spacing w:before="40" w:after="40"/>
            </w:pPr>
            <w:r>
              <w:rPr>
                <w:b/>
                <w:i w:val="0"/>
                <w:color w:val="FFFFFF"/>
                <w:sz w:val="18"/>
              </w:rPr>
              <w:t>Intitulé</w:t>
            </w:r>
          </w:p>
        </w:tc>
        <w:tc>
          <w:tcPr>
            <w:tcW w:type="dxa" w:w="1701"/>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IM-01</w:t>
            </w:r>
          </w:p>
        </w:tc>
        <w:tc>
          <w:tcPr>
            <w:tcW w:type="dxa" w:w="5953"/>
            <w:shd w:val="clear" w:color="auto" w:fill="FFFFFF"/>
          </w:tcPr>
          <w:p>
            <w:pPr>
              <w:spacing w:before="40" w:after="40"/>
            </w:pPr>
            <w:r>
              <w:rPr>
                <w:b w:val="0"/>
                <w:i w:val="0"/>
                <w:color w:val="1E293B"/>
                <w:sz w:val="19"/>
              </w:rPr>
              <w:t>Rapprochement balance / GL</w:t>
            </w:r>
          </w:p>
        </w:tc>
        <w:tc>
          <w:tcPr>
            <w:tcW w:type="dxa" w:w="1701"/>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IM-02</w:t>
            </w:r>
          </w:p>
        </w:tc>
        <w:tc>
          <w:tcPr>
            <w:tcW w:type="dxa" w:w="5953"/>
            <w:shd w:val="clear" w:color="auto" w:fill="F8FAFC"/>
          </w:tcPr>
          <w:p>
            <w:pPr>
              <w:spacing w:before="40" w:after="40"/>
            </w:pPr>
            <w:r>
              <w:rPr>
                <w:b w:val="0"/>
                <w:i w:val="0"/>
                <w:color w:val="1E293B"/>
                <w:sz w:val="19"/>
              </w:rPr>
              <w:t>Variation dotations N / N-1</w:t>
            </w:r>
          </w:p>
        </w:tc>
        <w:tc>
          <w:tcPr>
            <w:tcW w:type="dxa" w:w="1701"/>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IM-03</w:t>
            </w:r>
          </w:p>
        </w:tc>
        <w:tc>
          <w:tcPr>
            <w:tcW w:type="dxa" w:w="5953"/>
            <w:shd w:val="clear" w:color="auto" w:fill="FFFFFF"/>
          </w:tcPr>
          <w:p>
            <w:pPr>
              <w:spacing w:before="40" w:after="40"/>
            </w:pPr>
            <w:r>
              <w:rPr>
                <w:b w:val="0"/>
                <w:i w:val="0"/>
                <w:color w:val="1E293B"/>
                <w:sz w:val="19"/>
              </w:rPr>
              <w:t>Valeurs nettes nulles non sorties</w:t>
            </w:r>
          </w:p>
        </w:tc>
        <w:tc>
          <w:tcPr>
            <w:tcW w:type="dxa" w:w="1701"/>
            <w:shd w:val="clear" w:color="auto" w:fill="FFFFFF"/>
          </w:tcPr>
          <w:p>
            <w:pPr>
              <w:spacing w:before="40" w:after="40"/>
            </w:pPr>
            <w:r>
              <w:rPr>
                <w:b/>
                <w:i w:val="0"/>
                <w:color w:val="D97706"/>
                <w:sz w:val="19"/>
              </w:rPr>
              <w:t>Significative</w:t>
            </w:r>
          </w:p>
        </w:tc>
      </w:tr>
      <w:tr>
        <w:tc>
          <w:tcPr>
            <w:tcW w:type="dxa" w:w="1417"/>
            <w:shd w:val="clear" w:color="auto" w:fill="F8FAFC"/>
          </w:tcPr>
          <w:p>
            <w:pPr>
              <w:spacing w:before="40" w:after="40"/>
            </w:pPr>
            <w:r>
              <w:rPr>
                <w:b w:val="0"/>
                <w:i w:val="0"/>
                <w:color w:val="1E293B"/>
                <w:sz w:val="19"/>
              </w:rPr>
              <w:t>IM-04</w:t>
            </w:r>
          </w:p>
        </w:tc>
        <w:tc>
          <w:tcPr>
            <w:tcW w:type="dxa" w:w="5953"/>
            <w:shd w:val="clear" w:color="auto" w:fill="F8FAFC"/>
          </w:tcPr>
          <w:p>
            <w:pPr>
              <w:spacing w:before="40" w:after="40"/>
            </w:pPr>
            <w:r>
              <w:rPr>
                <w:b w:val="0"/>
                <w:i w:val="0"/>
                <w:color w:val="1E293B"/>
                <w:sz w:val="19"/>
              </w:rPr>
              <w:t>Acquisitions sans numéro d'immobilisation</w:t>
            </w:r>
          </w:p>
        </w:tc>
        <w:tc>
          <w:tcPr>
            <w:tcW w:type="dxa" w:w="1701"/>
            <w:shd w:val="clear" w:color="auto" w:fill="F8FAFC"/>
          </w:tcPr>
          <w:p>
            <w:pPr>
              <w:spacing w:before="40" w:after="40"/>
            </w:pPr>
            <w:r>
              <w:rPr>
                <w:b w:val="0"/>
                <w:i w:val="0"/>
                <w:color w:val="64748B"/>
                <w:sz w:val="19"/>
              </w:rPr>
              <w:t>Mineure</w:t>
            </w:r>
          </w:p>
        </w:tc>
      </w:tr>
      <w:tr>
        <w:tc>
          <w:tcPr>
            <w:tcW w:type="dxa" w:w="1417"/>
            <w:shd w:val="clear" w:color="auto" w:fill="FFFFFF"/>
          </w:tcPr>
          <w:p>
            <w:pPr>
              <w:spacing w:before="40" w:after="40"/>
            </w:pPr>
            <w:r>
              <w:rPr>
                <w:b w:val="0"/>
                <w:i w:val="0"/>
                <w:color w:val="1E293B"/>
                <w:sz w:val="19"/>
              </w:rPr>
              <w:t>IM-05</w:t>
            </w:r>
          </w:p>
        </w:tc>
        <w:tc>
          <w:tcPr>
            <w:tcW w:type="dxa" w:w="5953"/>
            <w:shd w:val="clear" w:color="auto" w:fill="FFFFFF"/>
          </w:tcPr>
          <w:p>
            <w:pPr>
              <w:spacing w:before="40" w:after="40"/>
            </w:pPr>
            <w:r>
              <w:rPr>
                <w:b w:val="0"/>
                <w:i w:val="0"/>
                <w:color w:val="1E293B"/>
                <w:sz w:val="19"/>
              </w:rPr>
              <w:t>Cohérence taux d'amortissement</w:t>
            </w:r>
          </w:p>
        </w:tc>
        <w:tc>
          <w:tcPr>
            <w:tcW w:type="dxa" w:w="1701"/>
            <w:shd w:val="clear" w:color="auto" w:fill="FFFFFF"/>
          </w:tcPr>
          <w:p>
            <w:pPr>
              <w:spacing w:before="40" w:after="40"/>
            </w:pPr>
            <w:r>
              <w:rPr>
                <w:b/>
                <w:i w:val="0"/>
                <w:color w:val="D97706"/>
                <w:sz w:val="19"/>
              </w:rPr>
              <w:t>Significative</w:t>
            </w:r>
          </w:p>
        </w:tc>
      </w:tr>
    </w:tbl>
    <w:p>
      <w:pPr>
        <w:spacing w:after="80"/>
      </w:pPr>
    </w:p>
    <w:p>
      <w:pPr>
        <w:spacing w:before="0" w:after="40"/>
      </w:pPr>
      <w:r>
        <w:rPr>
          <w:b/>
          <w:i w:val="0"/>
          <w:color w:val="2563EB"/>
          <w:sz w:val="16"/>
        </w:rPr>
        <w:t>STOCKS — COMPTES 3XX — 5 CONTRÔLES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0f1724"/>
          </w:tcPr>
          <w:p>
            <w:pPr>
              <w:spacing w:before="40" w:after="40"/>
            </w:pPr>
            <w:r>
              <w:rPr>
                <w:b/>
                <w:i w:val="0"/>
                <w:color w:val="FFFFFF"/>
                <w:sz w:val="18"/>
              </w:rPr>
              <w:t>Réf.</w:t>
            </w:r>
          </w:p>
        </w:tc>
        <w:tc>
          <w:tcPr>
            <w:tcW w:type="dxa" w:w="5953"/>
            <w:shd w:val="clear" w:color="auto" w:fill="0f1724"/>
          </w:tcPr>
          <w:p>
            <w:pPr>
              <w:spacing w:before="40" w:after="40"/>
            </w:pPr>
            <w:r>
              <w:rPr>
                <w:b/>
                <w:i w:val="0"/>
                <w:color w:val="FFFFFF"/>
                <w:sz w:val="18"/>
              </w:rPr>
              <w:t>Intitulé</w:t>
            </w:r>
          </w:p>
        </w:tc>
        <w:tc>
          <w:tcPr>
            <w:tcW w:type="dxa" w:w="1701"/>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ST-01</w:t>
            </w:r>
          </w:p>
        </w:tc>
        <w:tc>
          <w:tcPr>
            <w:tcW w:type="dxa" w:w="5953"/>
            <w:shd w:val="clear" w:color="auto" w:fill="FFFFFF"/>
          </w:tcPr>
          <w:p>
            <w:pPr>
              <w:spacing w:before="40" w:after="40"/>
            </w:pPr>
            <w:r>
              <w:rPr>
                <w:b w:val="0"/>
                <w:i w:val="0"/>
                <w:color w:val="1E293B"/>
                <w:sz w:val="19"/>
              </w:rPr>
              <w:t>Rapprochement balance / GL</w:t>
            </w:r>
          </w:p>
        </w:tc>
        <w:tc>
          <w:tcPr>
            <w:tcW w:type="dxa" w:w="1701"/>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ST-02</w:t>
            </w:r>
          </w:p>
        </w:tc>
        <w:tc>
          <w:tcPr>
            <w:tcW w:type="dxa" w:w="5953"/>
            <w:shd w:val="clear" w:color="auto" w:fill="F8FAFC"/>
          </w:tcPr>
          <w:p>
            <w:pPr>
              <w:spacing w:before="40" w:after="40"/>
            </w:pPr>
            <w:r>
              <w:rPr>
                <w:b w:val="0"/>
                <w:i w:val="0"/>
                <w:color w:val="1E293B"/>
                <w:sz w:val="19"/>
              </w:rPr>
              <w:t>Variation stocks N / N-1</w:t>
            </w:r>
          </w:p>
        </w:tc>
        <w:tc>
          <w:tcPr>
            <w:tcW w:type="dxa" w:w="1701"/>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ST-03</w:t>
            </w:r>
          </w:p>
        </w:tc>
        <w:tc>
          <w:tcPr>
            <w:tcW w:type="dxa" w:w="5953"/>
            <w:shd w:val="clear" w:color="auto" w:fill="FFFFFF"/>
          </w:tcPr>
          <w:p>
            <w:pPr>
              <w:spacing w:before="40" w:after="40"/>
            </w:pPr>
            <w:r>
              <w:rPr>
                <w:b w:val="0"/>
                <w:i w:val="0"/>
                <w:color w:val="1E293B"/>
                <w:sz w:val="19"/>
              </w:rPr>
              <w:t>Stocks à valeur nulle</w:t>
            </w:r>
          </w:p>
        </w:tc>
        <w:tc>
          <w:tcPr>
            <w:tcW w:type="dxa" w:w="1701"/>
            <w:shd w:val="clear" w:color="auto" w:fill="FFFFFF"/>
          </w:tcPr>
          <w:p>
            <w:pPr>
              <w:spacing w:before="40" w:after="40"/>
            </w:pPr>
            <w:r>
              <w:rPr>
                <w:b w:val="0"/>
                <w:i w:val="0"/>
                <w:color w:val="64748B"/>
                <w:sz w:val="19"/>
              </w:rPr>
              <w:t>Mineure</w:t>
            </w:r>
          </w:p>
        </w:tc>
      </w:tr>
      <w:tr>
        <w:tc>
          <w:tcPr>
            <w:tcW w:type="dxa" w:w="1417"/>
            <w:shd w:val="clear" w:color="auto" w:fill="F8FAFC"/>
          </w:tcPr>
          <w:p>
            <w:pPr>
              <w:spacing w:before="40" w:after="40"/>
            </w:pPr>
            <w:r>
              <w:rPr>
                <w:b w:val="0"/>
                <w:i w:val="0"/>
                <w:color w:val="1E293B"/>
                <w:sz w:val="19"/>
              </w:rPr>
              <w:t>ST-04</w:t>
            </w:r>
          </w:p>
        </w:tc>
        <w:tc>
          <w:tcPr>
            <w:tcW w:type="dxa" w:w="5953"/>
            <w:shd w:val="clear" w:color="auto" w:fill="F8FAFC"/>
          </w:tcPr>
          <w:p>
            <w:pPr>
              <w:spacing w:before="40" w:after="40"/>
            </w:pPr>
            <w:r>
              <w:rPr>
                <w:b w:val="0"/>
                <w:i w:val="0"/>
                <w:color w:val="1E293B"/>
                <w:sz w:val="19"/>
              </w:rPr>
              <w:t>Cohérence mouvements / achats</w:t>
            </w:r>
          </w:p>
        </w:tc>
        <w:tc>
          <w:tcPr>
            <w:tcW w:type="dxa" w:w="1701"/>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ST-05</w:t>
            </w:r>
          </w:p>
        </w:tc>
        <w:tc>
          <w:tcPr>
            <w:tcW w:type="dxa" w:w="5953"/>
            <w:shd w:val="clear" w:color="auto" w:fill="FFFFFF"/>
          </w:tcPr>
          <w:p>
            <w:pPr>
              <w:spacing w:before="40" w:after="40"/>
            </w:pPr>
            <w:r>
              <w:rPr>
                <w:b w:val="0"/>
                <w:i w:val="0"/>
                <w:color w:val="1E293B"/>
                <w:sz w:val="19"/>
              </w:rPr>
              <w:t>Provisions pour dépréciation</w:t>
            </w:r>
          </w:p>
        </w:tc>
        <w:tc>
          <w:tcPr>
            <w:tcW w:type="dxa" w:w="1701"/>
            <w:shd w:val="clear" w:color="auto" w:fill="FFFFFF"/>
          </w:tcPr>
          <w:p>
            <w:pPr>
              <w:spacing w:before="40" w:after="40"/>
            </w:pPr>
            <w:r>
              <w:rPr>
                <w:b/>
                <w:i w:val="0"/>
                <w:color w:val="D97706"/>
                <w:sz w:val="19"/>
              </w:rPr>
              <w:t>Significative</w:t>
            </w:r>
          </w:p>
        </w:tc>
      </w:tr>
    </w:tbl>
    <w:p>
      <w:pPr>
        <w:spacing w:after="80"/>
      </w:pPr>
    </w:p>
    <w:p>
      <w:pPr>
        <w:spacing w:before="0" w:after="40"/>
      </w:pPr>
      <w:r>
        <w:rPr>
          <w:b/>
          <w:i w:val="0"/>
          <w:color w:val="2563EB"/>
          <w:sz w:val="16"/>
        </w:rPr>
        <w:t>PAIE — COMPTES 42X, 64X — 5 CONTRÔLES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0f1724"/>
          </w:tcPr>
          <w:p>
            <w:pPr>
              <w:spacing w:before="40" w:after="40"/>
            </w:pPr>
            <w:r>
              <w:rPr>
                <w:b/>
                <w:i w:val="0"/>
                <w:color w:val="FFFFFF"/>
                <w:sz w:val="18"/>
              </w:rPr>
              <w:t>Réf.</w:t>
            </w:r>
          </w:p>
        </w:tc>
        <w:tc>
          <w:tcPr>
            <w:tcW w:type="dxa" w:w="5953"/>
            <w:shd w:val="clear" w:color="auto" w:fill="0f1724"/>
          </w:tcPr>
          <w:p>
            <w:pPr>
              <w:spacing w:before="40" w:after="40"/>
            </w:pPr>
            <w:r>
              <w:rPr>
                <w:b/>
                <w:i w:val="0"/>
                <w:color w:val="FFFFFF"/>
                <w:sz w:val="18"/>
              </w:rPr>
              <w:t>Intitulé</w:t>
            </w:r>
          </w:p>
        </w:tc>
        <w:tc>
          <w:tcPr>
            <w:tcW w:type="dxa" w:w="1701"/>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PA-01</w:t>
            </w:r>
          </w:p>
        </w:tc>
        <w:tc>
          <w:tcPr>
            <w:tcW w:type="dxa" w:w="5953"/>
            <w:shd w:val="clear" w:color="auto" w:fill="FFFFFF"/>
          </w:tcPr>
          <w:p>
            <w:pPr>
              <w:spacing w:before="40" w:after="40"/>
            </w:pPr>
            <w:r>
              <w:rPr>
                <w:b w:val="0"/>
                <w:i w:val="0"/>
                <w:color w:val="1E293B"/>
                <w:sz w:val="19"/>
              </w:rPr>
              <w:t>Rapprochement balance / GL</w:t>
            </w:r>
          </w:p>
        </w:tc>
        <w:tc>
          <w:tcPr>
            <w:tcW w:type="dxa" w:w="1701"/>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PA-02</w:t>
            </w:r>
          </w:p>
        </w:tc>
        <w:tc>
          <w:tcPr>
            <w:tcW w:type="dxa" w:w="5953"/>
            <w:shd w:val="clear" w:color="auto" w:fill="F8FAFC"/>
          </w:tcPr>
          <w:p>
            <w:pPr>
              <w:spacing w:before="40" w:after="40"/>
            </w:pPr>
            <w:r>
              <w:rPr>
                <w:b w:val="0"/>
                <w:i w:val="0"/>
                <w:color w:val="1E293B"/>
                <w:sz w:val="19"/>
              </w:rPr>
              <w:t>Variation masse salariale N / N-1</w:t>
            </w:r>
          </w:p>
        </w:tc>
        <w:tc>
          <w:tcPr>
            <w:tcW w:type="dxa" w:w="1701"/>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PA-03</w:t>
            </w:r>
          </w:p>
        </w:tc>
        <w:tc>
          <w:tcPr>
            <w:tcW w:type="dxa" w:w="5953"/>
            <w:shd w:val="clear" w:color="auto" w:fill="FFFFFF"/>
          </w:tcPr>
          <w:p>
            <w:pPr>
              <w:spacing w:before="40" w:after="40"/>
            </w:pPr>
            <w:r>
              <w:rPr>
                <w:b w:val="0"/>
                <w:i w:val="0"/>
                <w:color w:val="1E293B"/>
                <w:sz w:val="19"/>
              </w:rPr>
              <w:t>Cohérence effectifs / charges</w:t>
            </w:r>
          </w:p>
        </w:tc>
        <w:tc>
          <w:tcPr>
            <w:tcW w:type="dxa" w:w="1701"/>
            <w:shd w:val="clear" w:color="auto" w:fill="FFFFFF"/>
          </w:tcPr>
          <w:p>
            <w:pPr>
              <w:spacing w:before="40" w:after="40"/>
            </w:pPr>
            <w:r>
              <w:rPr>
                <w:b/>
                <w:i w:val="0"/>
                <w:color w:val="D97706"/>
                <w:sz w:val="19"/>
              </w:rPr>
              <w:t>Significative</w:t>
            </w:r>
          </w:p>
        </w:tc>
      </w:tr>
      <w:tr>
        <w:tc>
          <w:tcPr>
            <w:tcW w:type="dxa" w:w="1417"/>
            <w:shd w:val="clear" w:color="auto" w:fill="F8FAFC"/>
          </w:tcPr>
          <w:p>
            <w:pPr>
              <w:spacing w:before="40" w:after="40"/>
            </w:pPr>
            <w:r>
              <w:rPr>
                <w:b w:val="0"/>
                <w:i w:val="0"/>
                <w:color w:val="1E293B"/>
                <w:sz w:val="19"/>
              </w:rPr>
              <w:t>PA-04</w:t>
            </w:r>
          </w:p>
        </w:tc>
        <w:tc>
          <w:tcPr>
            <w:tcW w:type="dxa" w:w="5953"/>
            <w:shd w:val="clear" w:color="auto" w:fill="F8FAFC"/>
          </w:tcPr>
          <w:p>
            <w:pPr>
              <w:spacing w:before="40" w:after="40"/>
            </w:pPr>
            <w:r>
              <w:rPr>
                <w:b w:val="0"/>
                <w:i w:val="0"/>
                <w:color w:val="1E293B"/>
                <w:sz w:val="19"/>
              </w:rPr>
              <w:t>Charges sociales patronales</w:t>
            </w:r>
          </w:p>
        </w:tc>
        <w:tc>
          <w:tcPr>
            <w:tcW w:type="dxa" w:w="1701"/>
            <w:shd w:val="clear" w:color="auto" w:fill="F8FAFC"/>
          </w:tcPr>
          <w:p>
            <w:pPr>
              <w:spacing w:before="40" w:after="40"/>
            </w:pPr>
            <w:r>
              <w:rPr>
                <w:b w:val="0"/>
                <w:i w:val="0"/>
                <w:color w:val="64748B"/>
                <w:sz w:val="19"/>
              </w:rPr>
              <w:t>Mineure</w:t>
            </w:r>
          </w:p>
        </w:tc>
      </w:tr>
      <w:tr>
        <w:tc>
          <w:tcPr>
            <w:tcW w:type="dxa" w:w="1417"/>
            <w:shd w:val="clear" w:color="auto" w:fill="FFFFFF"/>
          </w:tcPr>
          <w:p>
            <w:pPr>
              <w:spacing w:before="40" w:after="40"/>
            </w:pPr>
            <w:r>
              <w:rPr>
                <w:b w:val="0"/>
                <w:i w:val="0"/>
                <w:color w:val="1E293B"/>
                <w:sz w:val="19"/>
              </w:rPr>
              <w:t>PA-05</w:t>
            </w:r>
          </w:p>
        </w:tc>
        <w:tc>
          <w:tcPr>
            <w:tcW w:type="dxa" w:w="5953"/>
            <w:shd w:val="clear" w:color="auto" w:fill="FFFFFF"/>
          </w:tcPr>
          <w:p>
            <w:pPr>
              <w:spacing w:before="40" w:after="40"/>
            </w:pPr>
            <w:r>
              <w:rPr>
                <w:b w:val="0"/>
                <w:i w:val="0"/>
                <w:color w:val="1E293B"/>
                <w:sz w:val="19"/>
              </w:rPr>
              <w:t>Congés payés non provisionnés</w:t>
            </w:r>
          </w:p>
        </w:tc>
        <w:tc>
          <w:tcPr>
            <w:tcW w:type="dxa" w:w="1701"/>
            <w:shd w:val="clear" w:color="auto" w:fill="FFFFFF"/>
          </w:tcPr>
          <w:p>
            <w:pPr>
              <w:spacing w:before="40" w:after="40"/>
            </w:pPr>
            <w:r>
              <w:rPr>
                <w:b/>
                <w:i w:val="0"/>
                <w:color w:val="D97706"/>
                <w:sz w:val="19"/>
              </w:rPr>
              <w:t>Significative</w:t>
            </w:r>
          </w:p>
        </w:tc>
      </w:tr>
    </w:tbl>
    <w:p>
      <w:pPr>
        <w:spacing w:after="80"/>
      </w:pPr>
    </w:p>
    <w:p>
      <w:pPr>
        <w:spacing w:before="0" w:after="40"/>
      </w:pPr>
      <w:r>
        <w:rPr>
          <w:b/>
          <w:i w:val="0"/>
          <w:color w:val="2563EB"/>
          <w:sz w:val="16"/>
        </w:rPr>
        <w:t>IMPÔTS ET TAXES — COMPTES 44X — 5 CONTRÔLES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0f1724"/>
          </w:tcPr>
          <w:p>
            <w:pPr>
              <w:spacing w:before="40" w:after="40"/>
            </w:pPr>
            <w:r>
              <w:rPr>
                <w:b/>
                <w:i w:val="0"/>
                <w:color w:val="FFFFFF"/>
                <w:sz w:val="18"/>
              </w:rPr>
              <w:t>Réf.</w:t>
            </w:r>
          </w:p>
        </w:tc>
        <w:tc>
          <w:tcPr>
            <w:tcW w:type="dxa" w:w="5953"/>
            <w:shd w:val="clear" w:color="auto" w:fill="0f1724"/>
          </w:tcPr>
          <w:p>
            <w:pPr>
              <w:spacing w:before="40" w:after="40"/>
            </w:pPr>
            <w:r>
              <w:rPr>
                <w:b/>
                <w:i w:val="0"/>
                <w:color w:val="FFFFFF"/>
                <w:sz w:val="18"/>
              </w:rPr>
              <w:t>Intitulé</w:t>
            </w:r>
          </w:p>
        </w:tc>
        <w:tc>
          <w:tcPr>
            <w:tcW w:type="dxa" w:w="1701"/>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IP-01</w:t>
            </w:r>
          </w:p>
        </w:tc>
        <w:tc>
          <w:tcPr>
            <w:tcW w:type="dxa" w:w="5953"/>
            <w:shd w:val="clear" w:color="auto" w:fill="FFFFFF"/>
          </w:tcPr>
          <w:p>
            <w:pPr>
              <w:spacing w:before="40" w:after="40"/>
            </w:pPr>
            <w:r>
              <w:rPr>
                <w:b w:val="0"/>
                <w:i w:val="0"/>
                <w:color w:val="1E293B"/>
                <w:sz w:val="19"/>
              </w:rPr>
              <w:t>Rapprochement balance / GL</w:t>
            </w:r>
          </w:p>
        </w:tc>
        <w:tc>
          <w:tcPr>
            <w:tcW w:type="dxa" w:w="1701"/>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IP-02</w:t>
            </w:r>
          </w:p>
        </w:tc>
        <w:tc>
          <w:tcPr>
            <w:tcW w:type="dxa" w:w="5953"/>
            <w:shd w:val="clear" w:color="auto" w:fill="F8FAFC"/>
          </w:tcPr>
          <w:p>
            <w:pPr>
              <w:spacing w:before="40" w:after="40"/>
            </w:pPr>
            <w:r>
              <w:rPr>
                <w:b w:val="0"/>
                <w:i w:val="0"/>
                <w:color w:val="1E293B"/>
                <w:sz w:val="19"/>
              </w:rPr>
              <w:t>Cohérence TVA collectée / CA</w:t>
            </w:r>
          </w:p>
        </w:tc>
        <w:tc>
          <w:tcPr>
            <w:tcW w:type="dxa" w:w="1701"/>
            <w:shd w:val="clear" w:color="auto" w:fill="F8FAFC"/>
          </w:tcPr>
          <w:p>
            <w:pPr>
              <w:spacing w:before="40" w:after="40"/>
            </w:pPr>
            <w:r>
              <w:rPr>
                <w:b/>
                <w:i w:val="0"/>
                <w:color w:val="DC2626"/>
                <w:sz w:val="19"/>
              </w:rPr>
              <w:t>Critique</w:t>
            </w:r>
          </w:p>
        </w:tc>
      </w:tr>
      <w:tr>
        <w:tc>
          <w:tcPr>
            <w:tcW w:type="dxa" w:w="1417"/>
            <w:shd w:val="clear" w:color="auto" w:fill="FFFFFF"/>
          </w:tcPr>
          <w:p>
            <w:pPr>
              <w:spacing w:before="40" w:after="40"/>
            </w:pPr>
            <w:r>
              <w:rPr>
                <w:b w:val="0"/>
                <w:i w:val="0"/>
                <w:color w:val="1E293B"/>
                <w:sz w:val="19"/>
              </w:rPr>
              <w:t>IP-03</w:t>
            </w:r>
          </w:p>
        </w:tc>
        <w:tc>
          <w:tcPr>
            <w:tcW w:type="dxa" w:w="5953"/>
            <w:shd w:val="clear" w:color="auto" w:fill="FFFFFF"/>
          </w:tcPr>
          <w:p>
            <w:pPr>
              <w:spacing w:before="40" w:after="40"/>
            </w:pPr>
            <w:r>
              <w:rPr>
                <w:b w:val="0"/>
                <w:i w:val="0"/>
                <w:color w:val="1E293B"/>
                <w:sz w:val="19"/>
              </w:rPr>
              <w:t>Soldes TVA déductible</w:t>
            </w:r>
          </w:p>
        </w:tc>
        <w:tc>
          <w:tcPr>
            <w:tcW w:type="dxa" w:w="1701"/>
            <w:shd w:val="clear" w:color="auto" w:fill="FFFFFF"/>
          </w:tcPr>
          <w:p>
            <w:pPr>
              <w:spacing w:before="40" w:after="40"/>
            </w:pPr>
            <w:r>
              <w:rPr>
                <w:b/>
                <w:i w:val="0"/>
                <w:color w:val="D97706"/>
                <w:sz w:val="19"/>
              </w:rPr>
              <w:t>Significative</w:t>
            </w:r>
          </w:p>
        </w:tc>
      </w:tr>
      <w:tr>
        <w:tc>
          <w:tcPr>
            <w:tcW w:type="dxa" w:w="1417"/>
            <w:shd w:val="clear" w:color="auto" w:fill="F8FAFC"/>
          </w:tcPr>
          <w:p>
            <w:pPr>
              <w:spacing w:before="40" w:after="40"/>
            </w:pPr>
            <w:r>
              <w:rPr>
                <w:b w:val="0"/>
                <w:i w:val="0"/>
                <w:color w:val="1E293B"/>
                <w:sz w:val="19"/>
              </w:rPr>
              <w:t>IP-04</w:t>
            </w:r>
          </w:p>
        </w:tc>
        <w:tc>
          <w:tcPr>
            <w:tcW w:type="dxa" w:w="5953"/>
            <w:shd w:val="clear" w:color="auto" w:fill="F8FAFC"/>
          </w:tcPr>
          <w:p>
            <w:pPr>
              <w:spacing w:before="40" w:after="40"/>
            </w:pPr>
            <w:r>
              <w:rPr>
                <w:b w:val="0"/>
                <w:i w:val="0"/>
                <w:color w:val="1E293B"/>
                <w:sz w:val="19"/>
              </w:rPr>
              <w:t>Variation charges fiscales N / N-1</w:t>
            </w:r>
          </w:p>
        </w:tc>
        <w:tc>
          <w:tcPr>
            <w:tcW w:type="dxa" w:w="1701"/>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IP-05</w:t>
            </w:r>
          </w:p>
        </w:tc>
        <w:tc>
          <w:tcPr>
            <w:tcW w:type="dxa" w:w="5953"/>
            <w:shd w:val="clear" w:color="auto" w:fill="FFFFFF"/>
          </w:tcPr>
          <w:p>
            <w:pPr>
              <w:spacing w:before="40" w:after="40"/>
            </w:pPr>
            <w:r>
              <w:rPr>
                <w:b w:val="0"/>
                <w:i w:val="0"/>
                <w:color w:val="1E293B"/>
                <w:sz w:val="19"/>
              </w:rPr>
              <w:t>Provisions pour redressement</w:t>
            </w:r>
          </w:p>
        </w:tc>
        <w:tc>
          <w:tcPr>
            <w:tcW w:type="dxa" w:w="1701"/>
            <w:shd w:val="clear" w:color="auto" w:fill="FFFFFF"/>
          </w:tcPr>
          <w:p>
            <w:pPr>
              <w:spacing w:before="40" w:after="40"/>
            </w:pPr>
            <w:r>
              <w:rPr>
                <w:b w:val="0"/>
                <w:i w:val="0"/>
                <w:color w:val="64748B"/>
                <w:sz w:val="19"/>
              </w:rPr>
              <w:t>Mineure</w:t>
            </w:r>
          </w:p>
        </w:tc>
      </w:tr>
    </w:tbl>
    <w:p>
      <w:pPr>
        <w:spacing w:after="80"/>
      </w:pPr>
    </w:p>
    <w:p>
      <w:pPr>
        <w:spacing w:before="0" w:after="40"/>
      </w:pPr>
      <w:r>
        <w:rPr>
          <w:b/>
          <w:i w:val="0"/>
          <w:color w:val="2563EB"/>
          <w:sz w:val="16"/>
        </w:rPr>
        <w:t>CAPITAUX PROPRES — COMPTES 1XX — 5 CONTRÔLES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0f1724"/>
          </w:tcPr>
          <w:p>
            <w:pPr>
              <w:spacing w:before="40" w:after="40"/>
            </w:pPr>
            <w:r>
              <w:rPr>
                <w:b/>
                <w:i w:val="0"/>
                <w:color w:val="FFFFFF"/>
                <w:sz w:val="18"/>
              </w:rPr>
              <w:t>Réf.</w:t>
            </w:r>
          </w:p>
        </w:tc>
        <w:tc>
          <w:tcPr>
            <w:tcW w:type="dxa" w:w="5953"/>
            <w:shd w:val="clear" w:color="auto" w:fill="0f1724"/>
          </w:tcPr>
          <w:p>
            <w:pPr>
              <w:spacing w:before="40" w:after="40"/>
            </w:pPr>
            <w:r>
              <w:rPr>
                <w:b/>
                <w:i w:val="0"/>
                <w:color w:val="FFFFFF"/>
                <w:sz w:val="18"/>
              </w:rPr>
              <w:t>Intitulé</w:t>
            </w:r>
          </w:p>
        </w:tc>
        <w:tc>
          <w:tcPr>
            <w:tcW w:type="dxa" w:w="1701"/>
            <w:shd w:val="clear" w:color="auto" w:fill="0f1724"/>
          </w:tcPr>
          <w:p>
            <w:pPr>
              <w:spacing w:before="40" w:after="40"/>
            </w:pPr>
            <w:r>
              <w:rPr>
                <w:b/>
                <w:i w:val="0"/>
                <w:color w:val="FFFFFF"/>
                <w:sz w:val="18"/>
              </w:rPr>
              <w:t>Sévérité</w:t>
            </w:r>
          </w:p>
        </w:tc>
      </w:tr>
      <w:tr>
        <w:tc>
          <w:tcPr>
            <w:tcW w:type="dxa" w:w="1417"/>
            <w:shd w:val="clear" w:color="auto" w:fill="FFFFFF"/>
          </w:tcPr>
          <w:p>
            <w:pPr>
              <w:spacing w:before="40" w:after="40"/>
            </w:pPr>
            <w:r>
              <w:rPr>
                <w:b w:val="0"/>
                <w:i w:val="0"/>
                <w:color w:val="1E293B"/>
                <w:sz w:val="19"/>
              </w:rPr>
              <w:t>CP-01</w:t>
            </w:r>
          </w:p>
        </w:tc>
        <w:tc>
          <w:tcPr>
            <w:tcW w:type="dxa" w:w="5953"/>
            <w:shd w:val="clear" w:color="auto" w:fill="FFFFFF"/>
          </w:tcPr>
          <w:p>
            <w:pPr>
              <w:spacing w:before="40" w:after="40"/>
            </w:pPr>
            <w:r>
              <w:rPr>
                <w:b w:val="0"/>
                <w:i w:val="0"/>
                <w:color w:val="1E293B"/>
                <w:sz w:val="19"/>
              </w:rPr>
              <w:t>Rapprochement balance / GL</w:t>
            </w:r>
          </w:p>
        </w:tc>
        <w:tc>
          <w:tcPr>
            <w:tcW w:type="dxa" w:w="1701"/>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CP-02</w:t>
            </w:r>
          </w:p>
        </w:tc>
        <w:tc>
          <w:tcPr>
            <w:tcW w:type="dxa" w:w="5953"/>
            <w:shd w:val="clear" w:color="auto" w:fill="F8FAFC"/>
          </w:tcPr>
          <w:p>
            <w:pPr>
              <w:spacing w:before="40" w:after="40"/>
            </w:pPr>
            <w:r>
              <w:rPr>
                <w:b w:val="0"/>
                <w:i w:val="0"/>
                <w:color w:val="1E293B"/>
                <w:sz w:val="19"/>
              </w:rPr>
              <w:t>Variation capitaux propres N / N-1</w:t>
            </w:r>
          </w:p>
        </w:tc>
        <w:tc>
          <w:tcPr>
            <w:tcW w:type="dxa" w:w="1701"/>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CP-03</w:t>
            </w:r>
          </w:p>
        </w:tc>
        <w:tc>
          <w:tcPr>
            <w:tcW w:type="dxa" w:w="5953"/>
            <w:shd w:val="clear" w:color="auto" w:fill="FFFFFF"/>
          </w:tcPr>
          <w:p>
            <w:pPr>
              <w:spacing w:before="40" w:after="40"/>
            </w:pPr>
            <w:r>
              <w:rPr>
                <w:b w:val="0"/>
                <w:i w:val="0"/>
                <w:color w:val="1E293B"/>
                <w:sz w:val="19"/>
              </w:rPr>
              <w:t>Cohérence résultat / compte de résultat</w:t>
            </w:r>
          </w:p>
        </w:tc>
        <w:tc>
          <w:tcPr>
            <w:tcW w:type="dxa" w:w="1701"/>
            <w:shd w:val="clear" w:color="auto" w:fill="FFFFFF"/>
          </w:tcPr>
          <w:p>
            <w:pPr>
              <w:spacing w:before="40" w:after="40"/>
            </w:pPr>
            <w:r>
              <w:rPr>
                <w:b/>
                <w:i w:val="0"/>
                <w:color w:val="DC2626"/>
                <w:sz w:val="19"/>
              </w:rPr>
              <w:t>Critique</w:t>
            </w:r>
          </w:p>
        </w:tc>
      </w:tr>
      <w:tr>
        <w:tc>
          <w:tcPr>
            <w:tcW w:type="dxa" w:w="1417"/>
            <w:shd w:val="clear" w:color="auto" w:fill="F8FAFC"/>
          </w:tcPr>
          <w:p>
            <w:pPr>
              <w:spacing w:before="40" w:after="40"/>
            </w:pPr>
            <w:r>
              <w:rPr>
                <w:b w:val="0"/>
                <w:i w:val="0"/>
                <w:color w:val="1E293B"/>
                <w:sz w:val="19"/>
              </w:rPr>
              <w:t>CP-04</w:t>
            </w:r>
          </w:p>
        </w:tc>
        <w:tc>
          <w:tcPr>
            <w:tcW w:type="dxa" w:w="5953"/>
            <w:shd w:val="clear" w:color="auto" w:fill="F8FAFC"/>
          </w:tcPr>
          <w:p>
            <w:pPr>
              <w:spacing w:before="40" w:after="40"/>
            </w:pPr>
            <w:r>
              <w:rPr>
                <w:b w:val="0"/>
                <w:i w:val="0"/>
                <w:color w:val="1E293B"/>
                <w:sz w:val="19"/>
              </w:rPr>
              <w:t>Mouvements capital non décidés en AG</w:t>
            </w:r>
          </w:p>
        </w:tc>
        <w:tc>
          <w:tcPr>
            <w:tcW w:type="dxa" w:w="1701"/>
            <w:shd w:val="clear" w:color="auto" w:fill="F8FAFC"/>
          </w:tcPr>
          <w:p>
            <w:pPr>
              <w:spacing w:before="40" w:after="40"/>
            </w:pPr>
            <w:r>
              <w:rPr>
                <w:b/>
                <w:i w:val="0"/>
                <w:color w:val="D97706"/>
                <w:sz w:val="19"/>
              </w:rPr>
              <w:t>Significative</w:t>
            </w:r>
          </w:p>
        </w:tc>
      </w:tr>
      <w:tr>
        <w:tc>
          <w:tcPr>
            <w:tcW w:type="dxa" w:w="1417"/>
            <w:shd w:val="clear" w:color="auto" w:fill="FFFFFF"/>
          </w:tcPr>
          <w:p>
            <w:pPr>
              <w:spacing w:before="40" w:after="40"/>
            </w:pPr>
            <w:r>
              <w:rPr>
                <w:b w:val="0"/>
                <w:i w:val="0"/>
                <w:color w:val="1E293B"/>
                <w:sz w:val="19"/>
              </w:rPr>
              <w:t>CP-05</w:t>
            </w:r>
          </w:p>
        </w:tc>
        <w:tc>
          <w:tcPr>
            <w:tcW w:type="dxa" w:w="5953"/>
            <w:shd w:val="clear" w:color="auto" w:fill="FFFFFF"/>
          </w:tcPr>
          <w:p>
            <w:pPr>
              <w:spacing w:before="40" w:after="40"/>
            </w:pPr>
            <w:r>
              <w:rPr>
                <w:b w:val="0"/>
                <w:i w:val="0"/>
                <w:color w:val="1E293B"/>
                <w:sz w:val="19"/>
              </w:rPr>
              <w:t>Réserves légales — minimum statutaire</w:t>
            </w:r>
          </w:p>
        </w:tc>
        <w:tc>
          <w:tcPr>
            <w:tcW w:type="dxa" w:w="1701"/>
            <w:shd w:val="clear" w:color="auto" w:fill="FFFFFF"/>
          </w:tcPr>
          <w:p>
            <w:pPr>
              <w:spacing w:before="40" w:after="40"/>
            </w:pPr>
            <w:r>
              <w:rPr>
                <w:b w:val="0"/>
                <w:i w:val="0"/>
                <w:color w:val="64748B"/>
                <w:sz w:val="19"/>
              </w:rPr>
              <w:t>Mineure</w:t>
            </w:r>
          </w:p>
        </w:tc>
      </w:tr>
    </w:tbl>
    <w:p>
      <w:pPr>
        <w:spacing w:after="80"/>
      </w:pPr>
    </w:p>
    <w:p>
      <w:r>
        <w:br w:type="page"/>
      </w:r>
    </w:p>
    <w:p>
      <w:pPr>
        <w:spacing w:before="0" w:after="40"/>
      </w:pPr>
      <w:r>
        <w:rPr>
          <w:b/>
          <w:i w:val="0"/>
          <w:color w:val="2563EB"/>
          <w:sz w:val="16"/>
        </w:rPr>
        <w:t>CHAPITRE 4</w:t>
      </w:r>
    </w:p>
    <w:p>
      <w:pPr>
        <w:spacing w:before="80" w:after="40"/>
        <w:keepLines/>
        <w:keepNext/>
      </w:pPr>
      <w:r>
        <w:rPr>
          <w:b/>
          <w:i w:val="0"/>
          <w:color w:val="0F1724"/>
          <w:sz w:val="44"/>
        </w:rPr>
        <w:t>Assistance par intelligence artificielle</w:t>
      </w:r>
    </w:p>
    <w:p>
      <w:pPr>
        <w:spacing w:before="0" w:after="160"/>
      </w:pPr>
      <w:r>
        <w:rPr>
          <w:b w:val="0"/>
          <w:i w:val="0"/>
          <w:color w:val="64748B"/>
          <w:sz w:val="22"/>
        </w:rPr>
        <w:t>Probare intègre un moteur IA pour trois tâches précises. L'IA n'effectue aucun calcul et ne prend aucune décision d'audit.</w:t>
      </w:r>
    </w:p>
    <w:p>
      <w:pPr>
        <w:spacing w:before="40" w:after="160"/>
        <w:pBdr>
          <w:bottom w:val="single" w:sz="4" w:space="1" w:color="E2E8F0"/>
        </w:pBdr>
      </w:pPr>
    </w:p>
    <w:p>
      <w:pPr>
        <w:spacing w:before="200" w:after="80"/>
        <w:keepLines/>
        <w:keepNext/>
        <w:pBdr>
          <w:bottom w:val="single" w:sz="6" w:space="4" w:color="2563eb"/>
        </w:pBdr>
      </w:pPr>
      <w:r>
        <w:rPr>
          <w:b/>
          <w:i w:val="0"/>
          <w:color w:val="0F1724"/>
          <w:sz w:val="24"/>
        </w:rPr>
        <w:t>Rôle et limites de l'IA dans Probare</w:t>
      </w:r>
    </w:p>
    <w:p>
      <w:pPr>
        <w:spacing w:after="120" w:before="0"/>
      </w:pPr>
      <w:r>
        <w:rPr>
          <w:b w:val="0"/>
          <w:i w:val="0"/>
          <w:color w:val="1E293B"/>
          <w:sz w:val="21"/>
        </w:rPr>
        <w:t>L'assistance par intelligence artificielle est limitée à trois fonctions explicitement délimitées : le mapping des colonnes à l'import, l'interprétation contextuelle des exceptions, et la rédaction des commentaires de feuilles de travail. Dans les trois cas, la production de l'IA est soumise à révision et validation par l'auditeur avant d'être intégrée au dossier.</w:t>
      </w:r>
    </w:p>
    <w:p>
      <w:pPr>
        <w:spacing w:before="80" w:after="160"/>
        <w:ind w:left="454" w:right="454"/>
        <w:pBdr>
          <w:left w:val="single" w:sz="12" w:space="8" w:color="2563eb"/>
        </w:pBdr>
        <w:shd w:val="clear" w:color="auto" w:fill="EFF6FF"/>
      </w:pPr>
      <w:r>
        <w:rPr>
          <w:b w:val="0"/>
          <w:i/>
          <w:color w:val="1E3A8A"/>
          <w:sz w:val="20"/>
        </w:rPr>
        <w:t>L'IA de Probare n'effectue aucun calcul. Les résultats des 52 contrôles sont produits exclusivement par des procédés analytiques déterministes. L'IA intervient en aval des calculs, pour contextualiser et rédiger.</w:t>
      </w:r>
    </w:p>
    <w:p>
      <w:pPr>
        <w:spacing w:before="200" w:after="80"/>
        <w:keepLines/>
        <w:keepNext/>
        <w:pBdr>
          <w:bottom w:val="single" w:sz="6" w:space="4" w:color="2563eb"/>
        </w:pBdr>
      </w:pPr>
      <w:r>
        <w:rPr>
          <w:b/>
          <w:i w:val="0"/>
          <w:color w:val="0F1724"/>
          <w:sz w:val="24"/>
        </w:rPr>
        <w:t>Les trois usages de l'IA</w:t>
      </w:r>
    </w:p>
    <w:p>
      <w:pPr>
        <w:spacing w:after="120" w:before="0"/>
      </w:pPr>
      <w:r>
        <w:rPr>
          <w:b/>
          <w:i w:val="0"/>
          <w:color w:val="1E293B"/>
          <w:sz w:val="21"/>
        </w:rPr>
        <w:t>1. Mapping des colonnes à l'import</w:t>
      </w:r>
    </w:p>
    <w:p>
      <w:pPr>
        <w:spacing w:after="120" w:before="0"/>
      </w:pPr>
      <w:r>
        <w:rPr>
          <w:b w:val="0"/>
          <w:i w:val="0"/>
          <w:color w:val="1E293B"/>
          <w:sz w:val="21"/>
        </w:rPr>
        <w:t>Lors de l'import d'un fichier comptable, Probare analyse les en-têtes de colonnes et propose automatiquement la correspondance avec les champs attendus (débit, crédit, libellé, numéro de pièce, date, numéro de compte). Cette assistance est utile lorsque les intitulés du client s'écartent de la nomenclature standard. L'auditeur valide ou corrige chaque correspondance proposée.</w:t>
      </w:r>
    </w:p>
    <w:p>
      <w:pPr>
        <w:spacing w:after="120" w:before="0"/>
      </w:pPr>
      <w:r>
        <w:rPr>
          <w:b/>
          <w:i w:val="0"/>
          <w:color w:val="1E293B"/>
          <w:sz w:val="21"/>
        </w:rPr>
        <w:t>2. Interprétation contextuelle des exceptions</w:t>
      </w:r>
    </w:p>
    <w:p>
      <w:pPr>
        <w:spacing w:after="120" w:before="0"/>
      </w:pPr>
      <w:r>
        <w:rPr>
          <w:b w:val="0"/>
          <w:i w:val="0"/>
          <w:color w:val="1E293B"/>
          <w:sz w:val="21"/>
        </w:rPr>
        <w:t>Pour chaque exception générée par un contrôle, l'IA produit une interprétation contextuelle : analyse de l'amplitude de l'écart, mise en regard avec les données de l'exercice précédent, identification de causes probables, formulation de questions à adresser au client. Cette analyse est présentée à l'auditeur comme un support à la décision, non comme une conclusion.</w:t>
      </w:r>
    </w:p>
    <w:p>
      <w:pPr>
        <w:spacing w:after="120" w:before="0"/>
      </w:pPr>
      <w:r>
        <w:rPr>
          <w:b/>
          <w:i w:val="0"/>
          <w:color w:val="1E293B"/>
          <w:sz w:val="21"/>
        </w:rPr>
        <w:t>3. Rédaction des commentaires de feuilles de travail</w:t>
      </w:r>
    </w:p>
    <w:p>
      <w:pPr>
        <w:spacing w:after="120" w:before="0"/>
      </w:pPr>
      <w:r>
        <w:rPr>
          <w:b w:val="0"/>
          <w:i w:val="0"/>
          <w:color w:val="1E293B"/>
          <w:sz w:val="21"/>
        </w:rPr>
        <w:t>À la phase de génération du dossier, l'IA produit une première version des commentaires narratifs de chaque feuille de travail : description de la procédure appliquée, résultats obtenus, exceptions constatées et qualification retenue. L'auditeur révise librement ce texte avant validation définitive. La feuille de travail publiée dans le dossier est toujours celle validée par l'auditeur.</w:t>
      </w:r>
    </w:p>
    <w:p>
      <w:pPr>
        <w:spacing w:before="200" w:after="80"/>
        <w:keepLines/>
        <w:keepNext/>
        <w:pBdr>
          <w:bottom w:val="single" w:sz="6" w:space="4" w:color="2563eb"/>
        </w:pBdr>
      </w:pPr>
      <w:r>
        <w:rPr>
          <w:b/>
          <w:i w:val="0"/>
          <w:color w:val="0F1724"/>
          <w:sz w:val="24"/>
        </w:rPr>
        <w:t>Confidentialité des données</w:t>
      </w:r>
    </w:p>
    <w:p>
      <w:pPr>
        <w:spacing w:after="120" w:before="0"/>
      </w:pPr>
      <w:r>
        <w:rPr>
          <w:b w:val="0"/>
          <w:i w:val="0"/>
          <w:color w:val="1E293B"/>
          <w:sz w:val="21"/>
        </w:rPr>
        <w:t>Avant toute transmission au modèle de langage, Probare remplace automatiquement les données permettant d'identifier le client (raison sociale, numéro d'identification fiscale, identifiants de dirigeants) par des pseudonymes génériques. Les correspondances sont conservées localement. Les données permettant d'identifier le client ne quittent jamais le poste de travail.</w:t>
      </w:r>
    </w:p>
    <w:p>
      <w:pPr>
        <w:spacing w:before="80" w:after="160"/>
        <w:ind w:left="454" w:right="454"/>
        <w:pBdr>
          <w:left w:val="single" w:sz="12" w:space="8" w:color="2563eb"/>
        </w:pBdr>
        <w:shd w:val="clear" w:color="auto" w:fill="EFF6FF"/>
      </w:pPr>
      <w:r>
        <w:rPr>
          <w:b w:val="0"/>
          <w:i/>
          <w:color w:val="1E3A8A"/>
          <w:sz w:val="20"/>
        </w:rPr>
        <w:t>Le modèle de langage utilisé est adapté à la complexité de la tâche : un modèle léger pour le mapping des colonnes, un modèle standard pour l'interprétation des exceptions, un modèle plus puissant pour les exceptions complexes et la rédaction des synthèses. Ce choix est automatique et transparent pour l'auditeur.</w:t>
      </w:r>
    </w:p>
    <w:p>
      <w:r>
        <w:br w:type="page"/>
      </w:r>
    </w:p>
    <w:p>
      <w:pPr>
        <w:spacing w:before="0" w:after="40"/>
      </w:pPr>
      <w:r>
        <w:rPr>
          <w:b/>
          <w:i w:val="0"/>
          <w:color w:val="2563EB"/>
          <w:sz w:val="16"/>
        </w:rPr>
        <w:t>CHAPITRE 5</w:t>
      </w:r>
    </w:p>
    <w:p>
      <w:pPr>
        <w:spacing w:before="80" w:after="40"/>
        <w:keepLines/>
        <w:keepNext/>
      </w:pPr>
      <w:r>
        <w:rPr>
          <w:b/>
          <w:i w:val="0"/>
          <w:color w:val="0F1724"/>
          <w:sz w:val="44"/>
        </w:rPr>
        <w:t>Cas pratique — Cycle trésorerie</w:t>
      </w:r>
    </w:p>
    <w:p>
      <w:pPr>
        <w:spacing w:before="0" w:after="160"/>
      </w:pPr>
      <w:r>
        <w:rPr>
          <w:b w:val="0"/>
          <w:i w:val="0"/>
          <w:color w:val="64748B"/>
          <w:sz w:val="22"/>
        </w:rPr>
        <w:t>Simulation d'une mission complète sur le cycle trésorerie de DALOL Trading SARL, exercice 2024.</w:t>
      </w:r>
    </w:p>
    <w:p>
      <w:pPr>
        <w:spacing w:before="40" w:after="160"/>
        <w:pBdr>
          <w:bottom w:val="single" w:sz="4" w:space="1" w:color="E2E8F0"/>
        </w:pBdr>
      </w:pPr>
    </w:p>
    <w:p>
      <w:pPr>
        <w:spacing w:before="80" w:after="160"/>
        <w:ind w:left="454" w:right="454"/>
        <w:pBdr>
          <w:left w:val="single" w:sz="12" w:space="8" w:color="2563eb"/>
        </w:pBdr>
        <w:shd w:val="clear" w:color="auto" w:fill="EFF6FF"/>
      </w:pPr>
      <w:r>
        <w:rPr>
          <w:b w:val="0"/>
          <w:i/>
          <w:color w:val="1E3A8A"/>
          <w:sz w:val="20"/>
        </w:rPr>
        <w:t>Entité : DALOL Trading SARL — Société de négoce  |  Exercice : 01/01/2024 – 31/12/2024  |  Total bilan N : 155 000 000 FCFA  |  Seuil de signification : 2 325 000 FCFA (1,5 %)  |  Cycles retenus : Trésorerie, Achats, Ventes</w:t>
      </w:r>
    </w:p>
    <w:p>
      <w:pPr>
        <w:spacing w:before="200" w:after="80"/>
        <w:keepLines/>
        <w:keepNext/>
        <w:pBdr>
          <w:bottom w:val="single" w:sz="6" w:space="4" w:color="2563eb"/>
        </w:pBdr>
      </w:pPr>
      <w:r>
        <w:rPr>
          <w:b/>
          <w:i w:val="0"/>
          <w:color w:val="0F1724"/>
          <w:sz w:val="24"/>
        </w:rPr>
        <w:t>Phase 1 — Cadrage</w:t>
      </w:r>
    </w:p>
    <w:p>
      <w:pPr>
        <w:spacing w:after="120" w:before="0"/>
      </w:pPr>
      <w:r>
        <w:rPr>
          <w:b w:val="0"/>
          <w:i w:val="0"/>
          <w:color w:val="1E293B"/>
          <w:sz w:val="21"/>
        </w:rPr>
        <w:t>L'auditeur crée le projet et renseigne les informations de mission. Le seuil de signification est calculé automatiquement à 2 325 000 FCFA sur la base du total bilan. Le cycle trésorerie est sélectionné en priorité haute.</w:t>
      </w:r>
    </w:p>
    <w:p>
      <w:pPr>
        <w:spacing w:before="200" w:after="80"/>
        <w:keepLines/>
        <w:keepNext/>
        <w:pBdr>
          <w:bottom w:val="single" w:sz="6" w:space="4" w:color="2563eb"/>
        </w:pBdr>
      </w:pPr>
      <w:r>
        <w:rPr>
          <w:b/>
          <w:i w:val="0"/>
          <w:color w:val="0F1724"/>
          <w:sz w:val="24"/>
        </w:rPr>
        <w:t>Phase 2 — Évaluation du contrôle interne (QCI Trésorerie)</w:t>
      </w:r>
    </w:p>
    <w:tbl>
      <w:tblPr>
        <w:tblStyle w:val="TableGrid"/>
        <w:tblW w:type="auto" w:w="0"/>
        <w:jc w:val="left"/>
        <w:tblLook w:firstColumn="1" w:firstRow="1" w:lastColumn="0" w:lastRow="0" w:noHBand="0" w:noVBand="1" w:val="04A0"/>
      </w:tblPr>
      <w:tblGrid>
        <w:gridCol w:w="3135"/>
        <w:gridCol w:w="3135"/>
        <w:gridCol w:w="3135"/>
      </w:tblGrid>
      <w:tr>
        <w:tc>
          <w:tcPr>
            <w:tcW w:type="dxa" w:w="6236"/>
            <w:shd w:val="clear" w:color="auto" w:fill="0f1724"/>
          </w:tcPr>
          <w:p>
            <w:pPr>
              <w:spacing w:before="40" w:after="40"/>
            </w:pPr>
            <w:r>
              <w:rPr>
                <w:b/>
                <w:i w:val="0"/>
                <w:color w:val="FFFFFF"/>
                <w:sz w:val="18"/>
              </w:rPr>
              <w:t>Question</w:t>
            </w:r>
          </w:p>
        </w:tc>
        <w:tc>
          <w:tcPr>
            <w:tcW w:type="dxa" w:w="1417"/>
            <w:shd w:val="clear" w:color="auto" w:fill="0f1724"/>
          </w:tcPr>
          <w:p>
            <w:pPr>
              <w:spacing w:before="40" w:after="40"/>
            </w:pPr>
            <w:r>
              <w:rPr>
                <w:b/>
                <w:i w:val="0"/>
                <w:color w:val="FFFFFF"/>
                <w:sz w:val="18"/>
              </w:rPr>
              <w:t>Réponse</w:t>
            </w:r>
          </w:p>
        </w:tc>
        <w:tc>
          <w:tcPr>
            <w:tcW w:type="dxa" w:w="1417"/>
            <w:shd w:val="clear" w:color="auto" w:fill="0f1724"/>
          </w:tcPr>
          <w:p>
            <w:pPr>
              <w:spacing w:before="40" w:after="40"/>
            </w:pPr>
            <w:r>
              <w:rPr>
                <w:b/>
                <w:i w:val="0"/>
                <w:color w:val="FFFFFF"/>
                <w:sz w:val="18"/>
              </w:rPr>
              <w:t>Score</w:t>
            </w:r>
          </w:p>
        </w:tc>
      </w:tr>
      <w:tr>
        <w:tc>
          <w:tcPr>
            <w:tcW w:type="dxa" w:w="6236"/>
            <w:shd w:val="clear" w:color="auto" w:fill="FFFFFF"/>
          </w:tcPr>
          <w:p>
            <w:pPr>
              <w:spacing w:before="40" w:after="40"/>
            </w:pPr>
            <w:r>
              <w:rPr>
                <w:b w:val="0"/>
                <w:i w:val="0"/>
                <w:color w:val="1E293B"/>
                <w:sz w:val="19"/>
              </w:rPr>
              <w:t>Séparation des fonctions : autorisation, saisie, rapprochement</w:t>
            </w:r>
          </w:p>
        </w:tc>
        <w:tc>
          <w:tcPr>
            <w:tcW w:type="dxa" w:w="1417"/>
            <w:shd w:val="clear" w:color="auto" w:fill="FFFFFF"/>
          </w:tcPr>
          <w:p>
            <w:pPr>
              <w:spacing w:before="40" w:after="40"/>
            </w:pPr>
            <w:r>
              <w:rPr>
                <w:b w:val="0"/>
                <w:i w:val="0"/>
                <w:color w:val="1E293B"/>
                <w:sz w:val="19"/>
              </w:rPr>
              <w:t>Oui</w:t>
            </w:r>
          </w:p>
        </w:tc>
        <w:tc>
          <w:tcPr>
            <w:tcW w:type="dxa" w:w="1417"/>
            <w:shd w:val="clear" w:color="auto" w:fill="FFFFFF"/>
          </w:tcPr>
          <w:p>
            <w:pPr>
              <w:spacing w:before="40" w:after="40"/>
            </w:pPr>
            <w:r>
              <w:rPr>
                <w:b w:val="0"/>
                <w:i w:val="0"/>
                <w:color w:val="1E293B"/>
                <w:sz w:val="19"/>
              </w:rPr>
              <w:t>1,0</w:t>
            </w:r>
          </w:p>
        </w:tc>
      </w:tr>
      <w:tr>
        <w:tc>
          <w:tcPr>
            <w:tcW w:type="dxa" w:w="6236"/>
            <w:shd w:val="clear" w:color="auto" w:fill="F8FAFC"/>
          </w:tcPr>
          <w:p>
            <w:pPr>
              <w:spacing w:before="40" w:after="40"/>
            </w:pPr>
            <w:r>
              <w:rPr>
                <w:b w:val="0"/>
                <w:i w:val="0"/>
                <w:color w:val="1E293B"/>
                <w:sz w:val="19"/>
              </w:rPr>
              <w:t>Procédure de rapprochement bancaire mensuel formalisée</w:t>
            </w:r>
          </w:p>
        </w:tc>
        <w:tc>
          <w:tcPr>
            <w:tcW w:type="dxa" w:w="1417"/>
            <w:shd w:val="clear" w:color="auto" w:fill="F8FAFC"/>
          </w:tcPr>
          <w:p>
            <w:pPr>
              <w:spacing w:before="40" w:after="40"/>
            </w:pPr>
            <w:r>
              <w:rPr>
                <w:b w:val="0"/>
                <w:i w:val="0"/>
                <w:color w:val="1E293B"/>
                <w:sz w:val="19"/>
              </w:rPr>
              <w:t>Oui</w:t>
            </w:r>
          </w:p>
        </w:tc>
        <w:tc>
          <w:tcPr>
            <w:tcW w:type="dxa" w:w="1417"/>
            <w:shd w:val="clear" w:color="auto" w:fill="F8FAFC"/>
          </w:tcPr>
          <w:p>
            <w:pPr>
              <w:spacing w:before="40" w:after="40"/>
            </w:pPr>
            <w:r>
              <w:rPr>
                <w:b w:val="0"/>
                <w:i w:val="0"/>
                <w:color w:val="1E293B"/>
                <w:sz w:val="19"/>
              </w:rPr>
              <w:t>1,0</w:t>
            </w:r>
          </w:p>
        </w:tc>
      </w:tr>
      <w:tr>
        <w:tc>
          <w:tcPr>
            <w:tcW w:type="dxa" w:w="6236"/>
            <w:shd w:val="clear" w:color="auto" w:fill="FFFFFF"/>
          </w:tcPr>
          <w:p>
            <w:pPr>
              <w:spacing w:before="40" w:after="40"/>
            </w:pPr>
            <w:r>
              <w:rPr>
                <w:b w:val="0"/>
                <w:i w:val="0"/>
                <w:color w:val="1E293B"/>
                <w:sz w:val="19"/>
              </w:rPr>
              <w:t>Rapprochements réalisés par une personne indépendante de la saisie</w:t>
            </w:r>
          </w:p>
        </w:tc>
        <w:tc>
          <w:tcPr>
            <w:tcW w:type="dxa" w:w="1417"/>
            <w:shd w:val="clear" w:color="auto" w:fill="FFFFFF"/>
          </w:tcPr>
          <w:p>
            <w:pPr>
              <w:spacing w:before="40" w:after="40"/>
            </w:pPr>
            <w:r>
              <w:rPr>
                <w:b w:val="0"/>
                <w:i w:val="0"/>
                <w:color w:val="1E293B"/>
                <w:sz w:val="19"/>
              </w:rPr>
              <w:t>Non</w:t>
            </w:r>
          </w:p>
        </w:tc>
        <w:tc>
          <w:tcPr>
            <w:tcW w:type="dxa" w:w="1417"/>
            <w:shd w:val="clear" w:color="auto" w:fill="FFFFFF"/>
          </w:tcPr>
          <w:p>
            <w:pPr>
              <w:spacing w:before="40" w:after="40"/>
            </w:pPr>
            <w:r>
              <w:rPr>
                <w:b w:val="0"/>
                <w:i w:val="0"/>
                <w:color w:val="1E293B"/>
                <w:sz w:val="19"/>
              </w:rPr>
              <w:t>0,0</w:t>
            </w:r>
          </w:p>
        </w:tc>
      </w:tr>
      <w:tr>
        <w:tc>
          <w:tcPr>
            <w:tcW w:type="dxa" w:w="6236"/>
            <w:shd w:val="clear" w:color="auto" w:fill="F8FAFC"/>
          </w:tcPr>
          <w:p>
            <w:pPr>
              <w:spacing w:before="40" w:after="40"/>
            </w:pPr>
            <w:r>
              <w:rPr>
                <w:b w:val="0"/>
                <w:i w:val="0"/>
                <w:color w:val="1E293B"/>
                <w:sz w:val="19"/>
              </w:rPr>
              <w:t>Signature conjointe requise au-delà d'un seuil défini</w:t>
            </w:r>
          </w:p>
        </w:tc>
        <w:tc>
          <w:tcPr>
            <w:tcW w:type="dxa" w:w="1417"/>
            <w:shd w:val="clear" w:color="auto" w:fill="F8FAFC"/>
          </w:tcPr>
          <w:p>
            <w:pPr>
              <w:spacing w:before="40" w:after="40"/>
            </w:pPr>
            <w:r>
              <w:rPr>
                <w:b w:val="0"/>
                <w:i w:val="0"/>
                <w:color w:val="1E293B"/>
                <w:sz w:val="19"/>
              </w:rPr>
              <w:t>Oui</w:t>
            </w:r>
          </w:p>
        </w:tc>
        <w:tc>
          <w:tcPr>
            <w:tcW w:type="dxa" w:w="1417"/>
            <w:shd w:val="clear" w:color="auto" w:fill="F8FAFC"/>
          </w:tcPr>
          <w:p>
            <w:pPr>
              <w:spacing w:before="40" w:after="40"/>
            </w:pPr>
            <w:r>
              <w:rPr>
                <w:b w:val="0"/>
                <w:i w:val="0"/>
                <w:color w:val="1E293B"/>
                <w:sz w:val="19"/>
              </w:rPr>
              <w:t>1,0</w:t>
            </w:r>
          </w:p>
        </w:tc>
      </w:tr>
      <w:tr>
        <w:tc>
          <w:tcPr>
            <w:tcW w:type="dxa" w:w="6236"/>
            <w:shd w:val="clear" w:color="auto" w:fill="FFFFFF"/>
          </w:tcPr>
          <w:p>
            <w:pPr>
              <w:spacing w:before="40" w:after="40"/>
            </w:pPr>
            <w:r>
              <w:rPr>
                <w:b w:val="0"/>
                <w:i w:val="0"/>
                <w:color w:val="1E293B"/>
                <w:sz w:val="19"/>
              </w:rPr>
              <w:t>Restriction d'accès aux modules bancaires du logiciel comptable</w:t>
            </w:r>
          </w:p>
        </w:tc>
        <w:tc>
          <w:tcPr>
            <w:tcW w:type="dxa" w:w="1417"/>
            <w:shd w:val="clear" w:color="auto" w:fill="FFFFFF"/>
          </w:tcPr>
          <w:p>
            <w:pPr>
              <w:spacing w:before="40" w:after="40"/>
            </w:pPr>
            <w:r>
              <w:rPr>
                <w:b w:val="0"/>
                <w:i w:val="0"/>
                <w:color w:val="1E293B"/>
                <w:sz w:val="19"/>
              </w:rPr>
              <w:t>Partielle</w:t>
            </w:r>
          </w:p>
        </w:tc>
        <w:tc>
          <w:tcPr>
            <w:tcW w:type="dxa" w:w="1417"/>
            <w:shd w:val="clear" w:color="auto" w:fill="FFFFFF"/>
          </w:tcPr>
          <w:p>
            <w:pPr>
              <w:spacing w:before="40" w:after="40"/>
            </w:pPr>
            <w:r>
              <w:rPr>
                <w:b w:val="0"/>
                <w:i w:val="0"/>
                <w:color w:val="1E293B"/>
                <w:sz w:val="19"/>
              </w:rPr>
              <w:t>0,5</w:t>
            </w:r>
          </w:p>
        </w:tc>
      </w:tr>
      <w:tr>
        <w:tc>
          <w:tcPr>
            <w:tcW w:type="dxa" w:w="6236"/>
            <w:shd w:val="clear" w:color="auto" w:fill="F8FAFC"/>
          </w:tcPr>
          <w:p>
            <w:pPr>
              <w:spacing w:before="40" w:after="40"/>
            </w:pPr>
            <w:r>
              <w:rPr>
                <w:b w:val="0"/>
                <w:i w:val="0"/>
                <w:color w:val="1E293B"/>
                <w:sz w:val="19"/>
              </w:rPr>
              <w:t>Revue mensuelle des soldes par la direction</w:t>
            </w:r>
          </w:p>
        </w:tc>
        <w:tc>
          <w:tcPr>
            <w:tcW w:type="dxa" w:w="1417"/>
            <w:shd w:val="clear" w:color="auto" w:fill="F8FAFC"/>
          </w:tcPr>
          <w:p>
            <w:pPr>
              <w:spacing w:before="40" w:after="40"/>
            </w:pPr>
            <w:r>
              <w:rPr>
                <w:b w:val="0"/>
                <w:i w:val="0"/>
                <w:color w:val="1E293B"/>
                <w:sz w:val="19"/>
              </w:rPr>
              <w:t>Oui</w:t>
            </w:r>
          </w:p>
        </w:tc>
        <w:tc>
          <w:tcPr>
            <w:tcW w:type="dxa" w:w="1417"/>
            <w:shd w:val="clear" w:color="auto" w:fill="F8FAFC"/>
          </w:tcPr>
          <w:p>
            <w:pPr>
              <w:spacing w:before="40" w:after="40"/>
            </w:pPr>
            <w:r>
              <w:rPr>
                <w:b w:val="0"/>
                <w:i w:val="0"/>
                <w:color w:val="1E293B"/>
                <w:sz w:val="19"/>
              </w:rPr>
              <w:t>1,0</w:t>
            </w:r>
          </w:p>
        </w:tc>
      </w:tr>
      <w:tr>
        <w:tc>
          <w:tcPr>
            <w:tcW w:type="dxa" w:w="6236"/>
            <w:shd w:val="clear" w:color="auto" w:fill="FFFFFF"/>
          </w:tcPr>
          <w:p>
            <w:pPr>
              <w:spacing w:before="40" w:after="40"/>
            </w:pPr>
            <w:r>
              <w:rPr>
                <w:b w:val="0"/>
                <w:i w:val="0"/>
                <w:color w:val="1E293B"/>
                <w:sz w:val="19"/>
              </w:rPr>
              <w:t>Procédure de gestion des fonds de caisse documentée</w:t>
            </w:r>
          </w:p>
        </w:tc>
        <w:tc>
          <w:tcPr>
            <w:tcW w:type="dxa" w:w="1417"/>
            <w:shd w:val="clear" w:color="auto" w:fill="FFFFFF"/>
          </w:tcPr>
          <w:p>
            <w:pPr>
              <w:spacing w:before="40" w:after="40"/>
            </w:pPr>
            <w:r>
              <w:rPr>
                <w:b w:val="0"/>
                <w:i w:val="0"/>
                <w:color w:val="1E293B"/>
                <w:sz w:val="19"/>
              </w:rPr>
              <w:t>Non</w:t>
            </w:r>
          </w:p>
        </w:tc>
        <w:tc>
          <w:tcPr>
            <w:tcW w:type="dxa" w:w="1417"/>
            <w:shd w:val="clear" w:color="auto" w:fill="FFFFFF"/>
          </w:tcPr>
          <w:p>
            <w:pPr>
              <w:spacing w:before="40" w:after="40"/>
            </w:pPr>
            <w:r>
              <w:rPr>
                <w:b w:val="0"/>
                <w:i w:val="0"/>
                <w:color w:val="1E293B"/>
                <w:sz w:val="19"/>
              </w:rPr>
              <w:t>0,0</w:t>
            </w:r>
          </w:p>
        </w:tc>
      </w:tr>
      <w:tr>
        <w:tc>
          <w:tcPr>
            <w:tcW w:type="dxa" w:w="6236"/>
            <w:shd w:val="clear" w:color="auto" w:fill="F8FAFC"/>
          </w:tcPr>
          <w:p>
            <w:pPr>
              <w:spacing w:before="40" w:after="40"/>
            </w:pPr>
            <w:r>
              <w:rPr>
                <w:b w:val="0"/>
                <w:i w:val="0"/>
                <w:color w:val="1E293B"/>
                <w:sz w:val="19"/>
              </w:rPr>
              <w:t>Contrôle physique mensuel des caisses</w:t>
            </w:r>
          </w:p>
        </w:tc>
        <w:tc>
          <w:tcPr>
            <w:tcW w:type="dxa" w:w="1417"/>
            <w:shd w:val="clear" w:color="auto" w:fill="F8FAFC"/>
          </w:tcPr>
          <w:p>
            <w:pPr>
              <w:spacing w:before="40" w:after="40"/>
            </w:pPr>
            <w:r>
              <w:rPr>
                <w:b w:val="0"/>
                <w:i w:val="0"/>
                <w:color w:val="1E293B"/>
                <w:sz w:val="19"/>
              </w:rPr>
              <w:t>Partielle</w:t>
            </w:r>
          </w:p>
        </w:tc>
        <w:tc>
          <w:tcPr>
            <w:tcW w:type="dxa" w:w="1417"/>
            <w:shd w:val="clear" w:color="auto" w:fill="F8FAFC"/>
          </w:tcPr>
          <w:p>
            <w:pPr>
              <w:spacing w:before="40" w:after="40"/>
            </w:pPr>
            <w:r>
              <w:rPr>
                <w:b w:val="0"/>
                <w:i w:val="0"/>
                <w:color w:val="1E293B"/>
                <w:sz w:val="19"/>
              </w:rPr>
              <w:t>0,5</w:t>
            </w:r>
          </w:p>
        </w:tc>
      </w:tr>
      <w:tr>
        <w:tc>
          <w:tcPr>
            <w:tcW w:type="dxa" w:w="6236"/>
            <w:shd w:val="clear" w:color="auto" w:fill="FFFFFF"/>
          </w:tcPr>
          <w:p>
            <w:pPr>
              <w:spacing w:before="40" w:after="40"/>
            </w:pPr>
            <w:r>
              <w:rPr>
                <w:b w:val="0"/>
                <w:i w:val="0"/>
                <w:color w:val="1E293B"/>
                <w:sz w:val="19"/>
              </w:rPr>
              <w:t>Rapprochement automatique via logiciel comptable</w:t>
            </w:r>
          </w:p>
        </w:tc>
        <w:tc>
          <w:tcPr>
            <w:tcW w:type="dxa" w:w="1417"/>
            <w:shd w:val="clear" w:color="auto" w:fill="FFFFFF"/>
          </w:tcPr>
          <w:p>
            <w:pPr>
              <w:spacing w:before="40" w:after="40"/>
            </w:pPr>
            <w:r>
              <w:rPr>
                <w:b w:val="0"/>
                <w:i w:val="0"/>
                <w:color w:val="1E293B"/>
                <w:sz w:val="19"/>
              </w:rPr>
              <w:t>Non</w:t>
            </w:r>
          </w:p>
        </w:tc>
        <w:tc>
          <w:tcPr>
            <w:tcW w:type="dxa" w:w="1417"/>
            <w:shd w:val="clear" w:color="auto" w:fill="FFFFFF"/>
          </w:tcPr>
          <w:p>
            <w:pPr>
              <w:spacing w:before="40" w:after="40"/>
            </w:pPr>
            <w:r>
              <w:rPr>
                <w:b w:val="0"/>
                <w:i w:val="0"/>
                <w:color w:val="1E293B"/>
                <w:sz w:val="19"/>
              </w:rPr>
              <w:t>0,0</w:t>
            </w:r>
          </w:p>
        </w:tc>
      </w:tr>
      <w:tr>
        <w:tc>
          <w:tcPr>
            <w:tcW w:type="dxa" w:w="6236"/>
            <w:shd w:val="clear" w:color="auto" w:fill="F8FAFC"/>
          </w:tcPr>
          <w:p>
            <w:pPr>
              <w:spacing w:before="40" w:after="40"/>
            </w:pPr>
            <w:r>
              <w:rPr>
                <w:b w:val="0"/>
                <w:i w:val="0"/>
                <w:color w:val="1E293B"/>
                <w:sz w:val="19"/>
              </w:rPr>
              <w:t>Audit interne effectue une revue annuelle de la trésorerie</w:t>
            </w:r>
          </w:p>
        </w:tc>
        <w:tc>
          <w:tcPr>
            <w:tcW w:type="dxa" w:w="1417"/>
            <w:shd w:val="clear" w:color="auto" w:fill="F8FAFC"/>
          </w:tcPr>
          <w:p>
            <w:pPr>
              <w:spacing w:before="40" w:after="40"/>
            </w:pPr>
            <w:r>
              <w:rPr>
                <w:b w:val="0"/>
                <w:i w:val="0"/>
                <w:color w:val="1E293B"/>
                <w:sz w:val="19"/>
              </w:rPr>
              <w:t>Oui</w:t>
            </w:r>
          </w:p>
        </w:tc>
        <w:tc>
          <w:tcPr>
            <w:tcW w:type="dxa" w:w="1417"/>
            <w:shd w:val="clear" w:color="auto" w:fill="F8FAFC"/>
          </w:tcPr>
          <w:p>
            <w:pPr>
              <w:spacing w:before="40" w:after="40"/>
            </w:pPr>
            <w:r>
              <w:rPr>
                <w:b w:val="0"/>
                <w:i w:val="0"/>
                <w:color w:val="1E293B"/>
                <w:sz w:val="19"/>
              </w:rPr>
              <w:t>1,0</w:t>
            </w:r>
          </w:p>
        </w:tc>
      </w:tr>
      <w:tr>
        <w:tc>
          <w:tcPr>
            <w:tcW w:type="dxa" w:w="6236"/>
            <w:shd w:val="clear" w:color="auto" w:fill="F1F5F9"/>
          </w:tcPr>
          <w:p>
            <w:pPr>
              <w:spacing w:before="40" w:after="40"/>
            </w:pPr>
            <w:r>
              <w:rPr>
                <w:b/>
                <w:i w:val="0"/>
                <w:color w:val="1E293B"/>
                <w:sz w:val="19"/>
              </w:rPr>
              <w:t>Score global — Cycle trésorerie</w:t>
            </w:r>
          </w:p>
        </w:tc>
        <w:tc>
          <w:tcPr>
            <w:tcW w:type="dxa" w:w="1417"/>
            <w:shd w:val="clear" w:color="auto" w:fill="F1F5F9"/>
          </w:tcPr>
          <w:p>
            <w:pPr>
              <w:spacing w:before="40" w:after="40"/>
            </w:pPr>
            <w:r>
              <w:rPr>
                <w:b/>
                <w:i w:val="0"/>
                <w:color w:val="1E293B"/>
                <w:sz w:val="19"/>
              </w:rPr>
            </w:r>
          </w:p>
        </w:tc>
        <w:tc>
          <w:tcPr>
            <w:tcW w:type="dxa" w:w="1417"/>
            <w:shd w:val="clear" w:color="auto" w:fill="F1F5F9"/>
          </w:tcPr>
          <w:p>
            <w:pPr>
              <w:spacing w:before="40" w:after="40"/>
            </w:pPr>
            <w:r>
              <w:rPr>
                <w:b/>
                <w:i w:val="0"/>
                <w:color w:val="1E293B"/>
                <w:sz w:val="19"/>
              </w:rPr>
              <w:t>6,0 / 10</w:t>
            </w:r>
          </w:p>
        </w:tc>
      </w:tr>
    </w:tbl>
    <w:p>
      <w:pPr>
        <w:spacing w:after="80"/>
      </w:pPr>
    </w:p>
    <w:p>
      <w:pPr>
        <w:spacing w:after="120" w:before="0"/>
      </w:pPr>
      <w:r>
        <w:rPr>
          <w:b w:val="0"/>
          <w:i w:val="0"/>
          <w:color w:val="1E293B"/>
          <w:sz w:val="21"/>
        </w:rPr>
        <w:t>Un score de 6/10 correspond à un niveau de contrôle interne moyen. Probare recommande d'étendre les travaux substantifs sur ce cycle. L'auditeur valide cette orientation.</w:t>
      </w:r>
    </w:p>
    <w:p>
      <w:pPr>
        <w:spacing w:before="200" w:after="80"/>
        <w:keepLines/>
        <w:keepNext/>
        <w:pBdr>
          <w:bottom w:val="single" w:sz="6" w:space="4" w:color="2563eb"/>
        </w:pBdr>
      </w:pPr>
      <w:r>
        <w:rPr>
          <w:b/>
          <w:i w:val="0"/>
          <w:color w:val="0F1724"/>
          <w:sz w:val="24"/>
        </w:rPr>
        <w:t>Phase 3 — Ingestion des données</w:t>
      </w:r>
    </w:p>
    <w:p>
      <w:pPr>
        <w:spacing w:after="120" w:before="0"/>
      </w:pPr>
      <w:r>
        <w:rPr>
          <w:b w:val="0"/>
          <w:i w:val="0"/>
          <w:color w:val="1E293B"/>
          <w:sz w:val="21"/>
        </w:rPr>
        <w:t>Trois fichiers sont importés : balance générale 2024, balance générale 2023, grand livre 2024. Les colonnes du grand livre ne suivent pas la nomenclature standard. Mapping proposé par l'IA :</w:t>
      </w:r>
    </w:p>
    <w:tbl>
      <w:tblPr>
        <w:tblStyle w:val="TableGrid"/>
        <w:tblW w:type="auto" w:w="0"/>
        <w:jc w:val="left"/>
        <w:tblLook w:firstColumn="1" w:firstRow="1" w:lastColumn="0" w:lastRow="0" w:noHBand="0" w:noVBand="1" w:val="04A0"/>
      </w:tblPr>
      <w:tblGrid>
        <w:gridCol w:w="3135"/>
        <w:gridCol w:w="3135"/>
        <w:gridCol w:w="3135"/>
      </w:tblGrid>
      <w:tr>
        <w:tc>
          <w:tcPr>
            <w:tcW w:type="dxa" w:w="3969"/>
            <w:shd w:val="clear" w:color="auto" w:fill="0f1724"/>
          </w:tcPr>
          <w:p>
            <w:pPr>
              <w:spacing w:before="40" w:after="40"/>
            </w:pPr>
            <w:r>
              <w:rPr>
                <w:b/>
                <w:i w:val="0"/>
                <w:color w:val="FFFFFF"/>
                <w:sz w:val="18"/>
              </w:rPr>
              <w:t>Intitulé dans le fichier client</w:t>
            </w:r>
          </w:p>
        </w:tc>
        <w:tc>
          <w:tcPr>
            <w:tcW w:type="dxa" w:w="3402"/>
            <w:shd w:val="clear" w:color="auto" w:fill="0f1724"/>
          </w:tcPr>
          <w:p>
            <w:pPr>
              <w:spacing w:before="40" w:after="40"/>
            </w:pPr>
            <w:r>
              <w:rPr>
                <w:b/>
                <w:i w:val="0"/>
                <w:color w:val="FFFFFF"/>
                <w:sz w:val="18"/>
              </w:rPr>
              <w:t>Champ Probare</w:t>
            </w:r>
          </w:p>
        </w:tc>
        <w:tc>
          <w:tcPr>
            <w:tcW w:type="dxa" w:w="1701"/>
            <w:shd w:val="clear" w:color="auto" w:fill="0f1724"/>
          </w:tcPr>
          <w:p>
            <w:pPr>
              <w:spacing w:before="40" w:after="40"/>
            </w:pPr>
            <w:r>
              <w:rPr>
                <w:b/>
                <w:i w:val="0"/>
                <w:color w:val="FFFFFF"/>
                <w:sz w:val="18"/>
              </w:rPr>
              <w:t>Confiance</w:t>
            </w:r>
          </w:p>
        </w:tc>
      </w:tr>
      <w:tr>
        <w:tc>
          <w:tcPr>
            <w:tcW w:type="dxa" w:w="3969"/>
            <w:shd w:val="clear" w:color="auto" w:fill="FFFFFF"/>
          </w:tcPr>
          <w:p>
            <w:pPr>
              <w:spacing w:before="40" w:after="40"/>
            </w:pPr>
            <w:r>
              <w:rPr>
                <w:b w:val="0"/>
                <w:i w:val="0"/>
                <w:color w:val="1E293B"/>
                <w:sz w:val="19"/>
              </w:rPr>
              <w:t>"Réf pièce"</w:t>
            </w:r>
          </w:p>
        </w:tc>
        <w:tc>
          <w:tcPr>
            <w:tcW w:type="dxa" w:w="3402"/>
            <w:shd w:val="clear" w:color="auto" w:fill="FFFFFF"/>
          </w:tcPr>
          <w:p>
            <w:pPr>
              <w:spacing w:before="40" w:after="40"/>
            </w:pPr>
            <w:r>
              <w:rPr>
                <w:b w:val="0"/>
                <w:i w:val="0"/>
                <w:color w:val="1E293B"/>
                <w:sz w:val="19"/>
              </w:rPr>
              <w:t>Numéro de pièce</w:t>
            </w:r>
          </w:p>
        </w:tc>
        <w:tc>
          <w:tcPr>
            <w:tcW w:type="dxa" w:w="1701"/>
            <w:shd w:val="clear" w:color="auto" w:fill="FFFFFF"/>
          </w:tcPr>
          <w:p>
            <w:pPr>
              <w:spacing w:before="40" w:after="40"/>
            </w:pPr>
            <w:r>
              <w:rPr>
                <w:b w:val="0"/>
                <w:i w:val="0"/>
                <w:color w:val="1E293B"/>
                <w:sz w:val="19"/>
              </w:rPr>
              <w:t>98 %</w:t>
            </w:r>
          </w:p>
        </w:tc>
      </w:tr>
      <w:tr>
        <w:tc>
          <w:tcPr>
            <w:tcW w:type="dxa" w:w="3969"/>
            <w:shd w:val="clear" w:color="auto" w:fill="F8FAFC"/>
          </w:tcPr>
          <w:p>
            <w:pPr>
              <w:spacing w:before="40" w:after="40"/>
            </w:pPr>
            <w:r>
              <w:rPr>
                <w:b w:val="0"/>
                <w:i w:val="0"/>
                <w:color w:val="1E293B"/>
                <w:sz w:val="19"/>
              </w:rPr>
              <w:t>"Date op."</w:t>
            </w:r>
          </w:p>
        </w:tc>
        <w:tc>
          <w:tcPr>
            <w:tcW w:type="dxa" w:w="3402"/>
            <w:shd w:val="clear" w:color="auto" w:fill="F8FAFC"/>
          </w:tcPr>
          <w:p>
            <w:pPr>
              <w:spacing w:before="40" w:after="40"/>
            </w:pPr>
            <w:r>
              <w:rPr>
                <w:b w:val="0"/>
                <w:i w:val="0"/>
                <w:color w:val="1E293B"/>
                <w:sz w:val="19"/>
              </w:rPr>
              <w:t>Date d'opération</w:t>
            </w:r>
          </w:p>
        </w:tc>
        <w:tc>
          <w:tcPr>
            <w:tcW w:type="dxa" w:w="1701"/>
            <w:shd w:val="clear" w:color="auto" w:fill="F8FAFC"/>
          </w:tcPr>
          <w:p>
            <w:pPr>
              <w:spacing w:before="40" w:after="40"/>
            </w:pPr>
            <w:r>
              <w:rPr>
                <w:b w:val="0"/>
                <w:i w:val="0"/>
                <w:color w:val="1E293B"/>
                <w:sz w:val="19"/>
              </w:rPr>
              <w:t>95 %</w:t>
            </w:r>
          </w:p>
        </w:tc>
      </w:tr>
      <w:tr>
        <w:tc>
          <w:tcPr>
            <w:tcW w:type="dxa" w:w="3969"/>
            <w:shd w:val="clear" w:color="auto" w:fill="FFFFFF"/>
          </w:tcPr>
          <w:p>
            <w:pPr>
              <w:spacing w:before="40" w:after="40"/>
            </w:pPr>
            <w:r>
              <w:rPr>
                <w:b w:val="0"/>
                <w:i w:val="0"/>
                <w:color w:val="1E293B"/>
                <w:sz w:val="19"/>
              </w:rPr>
              <w:t>"Mouvement D"</w:t>
            </w:r>
          </w:p>
        </w:tc>
        <w:tc>
          <w:tcPr>
            <w:tcW w:type="dxa" w:w="3402"/>
            <w:shd w:val="clear" w:color="auto" w:fill="FFFFFF"/>
          </w:tcPr>
          <w:p>
            <w:pPr>
              <w:spacing w:before="40" w:after="40"/>
            </w:pPr>
            <w:r>
              <w:rPr>
                <w:b w:val="0"/>
                <w:i w:val="0"/>
                <w:color w:val="1E293B"/>
                <w:sz w:val="19"/>
              </w:rPr>
              <w:t>Débit</w:t>
            </w:r>
          </w:p>
        </w:tc>
        <w:tc>
          <w:tcPr>
            <w:tcW w:type="dxa" w:w="1701"/>
            <w:shd w:val="clear" w:color="auto" w:fill="FFFFFF"/>
          </w:tcPr>
          <w:p>
            <w:pPr>
              <w:spacing w:before="40" w:after="40"/>
            </w:pPr>
            <w:r>
              <w:rPr>
                <w:b w:val="0"/>
                <w:i w:val="0"/>
                <w:color w:val="1E293B"/>
                <w:sz w:val="19"/>
              </w:rPr>
              <w:t>92 %</w:t>
            </w:r>
          </w:p>
        </w:tc>
      </w:tr>
      <w:tr>
        <w:tc>
          <w:tcPr>
            <w:tcW w:type="dxa" w:w="3969"/>
            <w:shd w:val="clear" w:color="auto" w:fill="F8FAFC"/>
          </w:tcPr>
          <w:p>
            <w:pPr>
              <w:spacing w:before="40" w:after="40"/>
            </w:pPr>
            <w:r>
              <w:rPr>
                <w:b w:val="0"/>
                <w:i w:val="0"/>
                <w:color w:val="1E293B"/>
                <w:sz w:val="19"/>
              </w:rPr>
              <w:t>"Mouvement C"</w:t>
            </w:r>
          </w:p>
        </w:tc>
        <w:tc>
          <w:tcPr>
            <w:tcW w:type="dxa" w:w="3402"/>
            <w:shd w:val="clear" w:color="auto" w:fill="F8FAFC"/>
          </w:tcPr>
          <w:p>
            <w:pPr>
              <w:spacing w:before="40" w:after="40"/>
            </w:pPr>
            <w:r>
              <w:rPr>
                <w:b w:val="0"/>
                <w:i w:val="0"/>
                <w:color w:val="1E293B"/>
                <w:sz w:val="19"/>
              </w:rPr>
              <w:t>Crédit</w:t>
            </w:r>
          </w:p>
        </w:tc>
        <w:tc>
          <w:tcPr>
            <w:tcW w:type="dxa" w:w="1701"/>
            <w:shd w:val="clear" w:color="auto" w:fill="F8FAFC"/>
          </w:tcPr>
          <w:p>
            <w:pPr>
              <w:spacing w:before="40" w:after="40"/>
            </w:pPr>
            <w:r>
              <w:rPr>
                <w:b w:val="0"/>
                <w:i w:val="0"/>
                <w:color w:val="1E293B"/>
                <w:sz w:val="19"/>
              </w:rPr>
              <w:t>92 %</w:t>
            </w:r>
          </w:p>
        </w:tc>
      </w:tr>
      <w:tr>
        <w:tc>
          <w:tcPr>
            <w:tcW w:type="dxa" w:w="3969"/>
            <w:shd w:val="clear" w:color="auto" w:fill="FFFFFF"/>
          </w:tcPr>
          <w:p>
            <w:pPr>
              <w:spacing w:before="40" w:after="40"/>
            </w:pPr>
            <w:r>
              <w:rPr>
                <w:b w:val="0"/>
                <w:i w:val="0"/>
                <w:color w:val="1E293B"/>
                <w:sz w:val="19"/>
              </w:rPr>
              <w:t>"Désignation"</w:t>
            </w:r>
          </w:p>
        </w:tc>
        <w:tc>
          <w:tcPr>
            <w:tcW w:type="dxa" w:w="3402"/>
            <w:shd w:val="clear" w:color="auto" w:fill="FFFFFF"/>
          </w:tcPr>
          <w:p>
            <w:pPr>
              <w:spacing w:before="40" w:after="40"/>
            </w:pPr>
            <w:r>
              <w:rPr>
                <w:b w:val="0"/>
                <w:i w:val="0"/>
                <w:color w:val="1E293B"/>
                <w:sz w:val="19"/>
              </w:rPr>
              <w:t>Libellé</w:t>
            </w:r>
          </w:p>
        </w:tc>
        <w:tc>
          <w:tcPr>
            <w:tcW w:type="dxa" w:w="1701"/>
            <w:shd w:val="clear" w:color="auto" w:fill="FFFFFF"/>
          </w:tcPr>
          <w:p>
            <w:pPr>
              <w:spacing w:before="40" w:after="40"/>
            </w:pPr>
            <w:r>
              <w:rPr>
                <w:b w:val="0"/>
                <w:i w:val="0"/>
                <w:color w:val="1E293B"/>
                <w:sz w:val="19"/>
              </w:rPr>
              <w:t>99 %</w:t>
            </w:r>
          </w:p>
        </w:tc>
      </w:tr>
    </w:tbl>
    <w:p>
      <w:pPr>
        <w:spacing w:after="80"/>
      </w:pPr>
    </w:p>
    <w:p>
      <w:pPr>
        <w:spacing w:after="120" w:before="0"/>
      </w:pPr>
      <w:r>
        <w:rPr>
          <w:b w:val="0"/>
          <w:i w:val="0"/>
          <w:color w:val="1E293B"/>
          <w:sz w:val="21"/>
        </w:rPr>
        <w:t>L'auditeur valide l'ensemble des correspondances. 20 mouvements trésorerie sont indexés, chacun tracé jusqu'à sa cellule source.</w:t>
      </w:r>
    </w:p>
    <w:p>
      <w:pPr>
        <w:spacing w:after="120" w:before="0"/>
      </w:pPr>
      <w:r>
        <w:rPr>
          <w:b w:val="0"/>
          <w:i w:val="0"/>
          <w:color w:val="1E293B"/>
          <w:sz w:val="21"/>
        </w:rPr>
        <w:t>Détail des soldes au 31/12/2024 :</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134"/>
            <w:shd w:val="clear" w:color="auto" w:fill="0f1724"/>
          </w:tcPr>
          <w:p>
            <w:pPr>
              <w:spacing w:before="40" w:after="40"/>
            </w:pPr>
            <w:r>
              <w:rPr>
                <w:b/>
                <w:i w:val="0"/>
                <w:color w:val="FFFFFF"/>
                <w:sz w:val="18"/>
              </w:rPr>
              <w:t>Compte</w:t>
            </w:r>
          </w:p>
        </w:tc>
        <w:tc>
          <w:tcPr>
            <w:tcW w:type="dxa" w:w="2268"/>
            <w:shd w:val="clear" w:color="auto" w:fill="0f1724"/>
          </w:tcPr>
          <w:p>
            <w:pPr>
              <w:spacing w:before="40" w:after="40"/>
            </w:pPr>
            <w:r>
              <w:rPr>
                <w:b/>
                <w:i w:val="0"/>
                <w:color w:val="FFFFFF"/>
                <w:sz w:val="18"/>
              </w:rPr>
              <w:t>Intitulé</w:t>
            </w:r>
          </w:p>
        </w:tc>
        <w:tc>
          <w:tcPr>
            <w:tcW w:type="dxa" w:w="1984"/>
            <w:shd w:val="clear" w:color="auto" w:fill="0f1724"/>
          </w:tcPr>
          <w:p>
            <w:pPr>
              <w:spacing w:before="40" w:after="40"/>
            </w:pPr>
            <w:r>
              <w:rPr>
                <w:b/>
                <w:i w:val="0"/>
                <w:color w:val="FFFFFF"/>
                <w:sz w:val="18"/>
              </w:rPr>
              <w:t>Solde N (FCFA)</w:t>
            </w:r>
          </w:p>
        </w:tc>
        <w:tc>
          <w:tcPr>
            <w:tcW w:type="dxa" w:w="1984"/>
            <w:shd w:val="clear" w:color="auto" w:fill="0f1724"/>
          </w:tcPr>
          <w:p>
            <w:pPr>
              <w:spacing w:before="40" w:after="40"/>
            </w:pPr>
            <w:r>
              <w:rPr>
                <w:b/>
                <w:i w:val="0"/>
                <w:color w:val="FFFFFF"/>
                <w:sz w:val="18"/>
              </w:rPr>
              <w:t>Solde N-1 (FCFA)</w:t>
            </w:r>
          </w:p>
        </w:tc>
        <w:tc>
          <w:tcPr>
            <w:tcW w:type="dxa" w:w="1701"/>
            <w:shd w:val="clear" w:color="auto" w:fill="0f1724"/>
          </w:tcPr>
          <w:p>
            <w:pPr>
              <w:spacing w:before="40" w:after="40"/>
            </w:pPr>
            <w:r>
              <w:rPr>
                <w:b/>
                <w:i w:val="0"/>
                <w:color w:val="FFFFFF"/>
                <w:sz w:val="18"/>
              </w:rPr>
              <w:t>Variation</w:t>
            </w:r>
          </w:p>
        </w:tc>
      </w:tr>
      <w:tr>
        <w:tc>
          <w:tcPr>
            <w:tcW w:type="dxa" w:w="1134"/>
            <w:shd w:val="clear" w:color="auto" w:fill="FFFFFF"/>
          </w:tcPr>
          <w:p>
            <w:pPr>
              <w:spacing w:before="40" w:after="40"/>
            </w:pPr>
            <w:r>
              <w:rPr>
                <w:b w:val="0"/>
                <w:i w:val="0"/>
                <w:color w:val="1E293B"/>
                <w:sz w:val="19"/>
              </w:rPr>
              <w:t>512</w:t>
            </w:r>
          </w:p>
        </w:tc>
        <w:tc>
          <w:tcPr>
            <w:tcW w:type="dxa" w:w="2268"/>
            <w:shd w:val="clear" w:color="auto" w:fill="FFFFFF"/>
          </w:tcPr>
          <w:p>
            <w:pPr>
              <w:spacing w:before="40" w:after="40"/>
            </w:pPr>
            <w:r>
              <w:rPr>
                <w:b w:val="0"/>
                <w:i w:val="0"/>
                <w:color w:val="1E293B"/>
                <w:sz w:val="19"/>
              </w:rPr>
              <w:t>Banque BCI</w:t>
            </w:r>
          </w:p>
        </w:tc>
        <w:tc>
          <w:tcPr>
            <w:tcW w:type="dxa" w:w="1984"/>
            <w:shd w:val="clear" w:color="auto" w:fill="FFFFFF"/>
          </w:tcPr>
          <w:p>
            <w:pPr>
              <w:spacing w:before="40" w:after="40"/>
            </w:pPr>
            <w:r>
              <w:rPr>
                <w:b w:val="0"/>
                <w:i w:val="0"/>
                <w:color w:val="1E293B"/>
                <w:sz w:val="19"/>
              </w:rPr>
              <w:t>31 500 000</w:t>
            </w:r>
          </w:p>
        </w:tc>
        <w:tc>
          <w:tcPr>
            <w:tcW w:type="dxa" w:w="1984"/>
            <w:shd w:val="clear" w:color="auto" w:fill="FFFFFF"/>
          </w:tcPr>
          <w:p>
            <w:pPr>
              <w:spacing w:before="40" w:after="40"/>
            </w:pPr>
            <w:r>
              <w:rPr>
                <w:b w:val="0"/>
                <w:i w:val="0"/>
                <w:color w:val="1E293B"/>
                <w:sz w:val="19"/>
              </w:rPr>
              <w:t>18 200 000</w:t>
            </w:r>
          </w:p>
        </w:tc>
        <w:tc>
          <w:tcPr>
            <w:tcW w:type="dxa" w:w="1701"/>
            <w:shd w:val="clear" w:color="auto" w:fill="FFFFFF"/>
          </w:tcPr>
          <w:p>
            <w:pPr>
              <w:spacing w:before="40" w:after="40"/>
            </w:pPr>
            <w:r>
              <w:rPr>
                <w:b w:val="0"/>
                <w:i w:val="0"/>
                <w:color w:val="1E293B"/>
                <w:sz w:val="19"/>
              </w:rPr>
              <w:t>+ 73,1 %</w:t>
            </w:r>
          </w:p>
        </w:tc>
      </w:tr>
      <w:tr>
        <w:tc>
          <w:tcPr>
            <w:tcW w:type="dxa" w:w="1134"/>
            <w:shd w:val="clear" w:color="auto" w:fill="F8FAFC"/>
          </w:tcPr>
          <w:p>
            <w:pPr>
              <w:spacing w:before="40" w:after="40"/>
            </w:pPr>
            <w:r>
              <w:rPr>
                <w:b w:val="0"/>
                <w:i w:val="0"/>
                <w:color w:val="1E293B"/>
                <w:sz w:val="19"/>
              </w:rPr>
              <w:t>514</w:t>
            </w:r>
          </w:p>
        </w:tc>
        <w:tc>
          <w:tcPr>
            <w:tcW w:type="dxa" w:w="2268"/>
            <w:shd w:val="clear" w:color="auto" w:fill="F8FAFC"/>
          </w:tcPr>
          <w:p>
            <w:pPr>
              <w:spacing w:before="40" w:after="40"/>
            </w:pPr>
            <w:r>
              <w:rPr>
                <w:b w:val="0"/>
                <w:i w:val="0"/>
                <w:color w:val="1E293B"/>
                <w:sz w:val="19"/>
              </w:rPr>
              <w:t>Banque CFE</w:t>
            </w:r>
          </w:p>
        </w:tc>
        <w:tc>
          <w:tcPr>
            <w:tcW w:type="dxa" w:w="1984"/>
            <w:shd w:val="clear" w:color="auto" w:fill="F8FAFC"/>
          </w:tcPr>
          <w:p>
            <w:pPr>
              <w:spacing w:before="40" w:after="40"/>
            </w:pPr>
            <w:r>
              <w:rPr>
                <w:b w:val="0"/>
                <w:i w:val="0"/>
                <w:color w:val="1E293B"/>
                <w:sz w:val="19"/>
              </w:rPr>
              <w:t>8 000 000</w:t>
            </w:r>
          </w:p>
        </w:tc>
        <w:tc>
          <w:tcPr>
            <w:tcW w:type="dxa" w:w="1984"/>
            <w:shd w:val="clear" w:color="auto" w:fill="F8FAFC"/>
          </w:tcPr>
          <w:p>
            <w:pPr>
              <w:spacing w:before="40" w:after="40"/>
            </w:pPr>
            <w:r>
              <w:rPr>
                <w:b w:val="0"/>
                <w:i w:val="0"/>
                <w:color w:val="1E293B"/>
                <w:sz w:val="19"/>
              </w:rPr>
              <w:t>7 600 000</w:t>
            </w:r>
          </w:p>
        </w:tc>
        <w:tc>
          <w:tcPr>
            <w:tcW w:type="dxa" w:w="1701"/>
            <w:shd w:val="clear" w:color="auto" w:fill="F8FAFC"/>
          </w:tcPr>
          <w:p>
            <w:pPr>
              <w:spacing w:before="40" w:after="40"/>
            </w:pPr>
            <w:r>
              <w:rPr>
                <w:b w:val="0"/>
                <w:i w:val="0"/>
                <w:color w:val="1E293B"/>
                <w:sz w:val="19"/>
              </w:rPr>
              <w:t>+ 5,3 %</w:t>
            </w:r>
          </w:p>
        </w:tc>
      </w:tr>
      <w:tr>
        <w:tc>
          <w:tcPr>
            <w:tcW w:type="dxa" w:w="1134"/>
            <w:shd w:val="clear" w:color="auto" w:fill="FFFFFF"/>
          </w:tcPr>
          <w:p>
            <w:pPr>
              <w:spacing w:before="40" w:after="40"/>
            </w:pPr>
            <w:r>
              <w:rPr>
                <w:b w:val="0"/>
                <w:i w:val="0"/>
                <w:color w:val="1E293B"/>
                <w:sz w:val="19"/>
              </w:rPr>
              <w:t>531</w:t>
            </w:r>
          </w:p>
        </w:tc>
        <w:tc>
          <w:tcPr>
            <w:tcW w:type="dxa" w:w="2268"/>
            <w:shd w:val="clear" w:color="auto" w:fill="FFFFFF"/>
          </w:tcPr>
          <w:p>
            <w:pPr>
              <w:spacing w:before="40" w:after="40"/>
            </w:pPr>
            <w:r>
              <w:rPr>
                <w:b w:val="0"/>
                <w:i w:val="0"/>
                <w:color w:val="1E293B"/>
                <w:sz w:val="19"/>
              </w:rPr>
              <w:t>Caisse</w:t>
            </w:r>
          </w:p>
        </w:tc>
        <w:tc>
          <w:tcPr>
            <w:tcW w:type="dxa" w:w="1984"/>
            <w:shd w:val="clear" w:color="auto" w:fill="FFFFFF"/>
          </w:tcPr>
          <w:p>
            <w:pPr>
              <w:spacing w:before="40" w:after="40"/>
            </w:pPr>
            <w:r>
              <w:rPr>
                <w:b w:val="0"/>
                <w:i w:val="0"/>
                <w:color w:val="1E293B"/>
                <w:sz w:val="19"/>
              </w:rPr>
              <w:t>7 000 000</w:t>
            </w:r>
          </w:p>
        </w:tc>
        <w:tc>
          <w:tcPr>
            <w:tcW w:type="dxa" w:w="1984"/>
            <w:shd w:val="clear" w:color="auto" w:fill="FFFFFF"/>
          </w:tcPr>
          <w:p>
            <w:pPr>
              <w:spacing w:before="40" w:after="40"/>
            </w:pPr>
            <w:r>
              <w:rPr>
                <w:b w:val="0"/>
                <w:i w:val="0"/>
                <w:color w:val="1E293B"/>
                <w:sz w:val="19"/>
              </w:rPr>
              <w:t>4 000 000</w:t>
            </w:r>
          </w:p>
        </w:tc>
        <w:tc>
          <w:tcPr>
            <w:tcW w:type="dxa" w:w="1701"/>
            <w:shd w:val="clear" w:color="auto" w:fill="FFFFFF"/>
          </w:tcPr>
          <w:p>
            <w:pPr>
              <w:spacing w:before="40" w:after="40"/>
            </w:pPr>
            <w:r>
              <w:rPr>
                <w:b w:val="0"/>
                <w:i w:val="0"/>
                <w:color w:val="1E293B"/>
                <w:sz w:val="19"/>
              </w:rPr>
              <w:t>+ 75,0 %</w:t>
            </w:r>
          </w:p>
        </w:tc>
      </w:tr>
      <w:tr>
        <w:tc>
          <w:tcPr>
            <w:tcW w:type="dxa" w:w="1134"/>
            <w:shd w:val="clear" w:color="auto" w:fill="F1F5F9"/>
          </w:tcPr>
          <w:p>
            <w:pPr>
              <w:spacing w:before="40" w:after="40"/>
            </w:pPr>
            <w:r>
              <w:rPr>
                <w:b/>
                <w:i w:val="0"/>
                <w:color w:val="1E293B"/>
                <w:sz w:val="19"/>
              </w:rPr>
              <w:t>Total trésorerie</w:t>
            </w:r>
          </w:p>
        </w:tc>
        <w:tc>
          <w:tcPr>
            <w:tcW w:type="dxa" w:w="2268"/>
            <w:shd w:val="clear" w:color="auto" w:fill="F1F5F9"/>
          </w:tcPr>
          <w:p>
            <w:pPr>
              <w:spacing w:before="40" w:after="40"/>
            </w:pPr>
            <w:r>
              <w:rPr>
                <w:b/>
                <w:i w:val="0"/>
                <w:color w:val="1E293B"/>
                <w:sz w:val="19"/>
              </w:rPr>
            </w:r>
          </w:p>
        </w:tc>
        <w:tc>
          <w:tcPr>
            <w:tcW w:type="dxa" w:w="1984"/>
            <w:shd w:val="clear" w:color="auto" w:fill="F1F5F9"/>
          </w:tcPr>
          <w:p>
            <w:pPr>
              <w:spacing w:before="40" w:after="40"/>
            </w:pPr>
            <w:r>
              <w:rPr>
                <w:b/>
                <w:i w:val="0"/>
                <w:color w:val="1E293B"/>
                <w:sz w:val="19"/>
              </w:rPr>
              <w:t>46 500 000</w:t>
            </w:r>
          </w:p>
        </w:tc>
        <w:tc>
          <w:tcPr>
            <w:tcW w:type="dxa" w:w="1984"/>
            <w:shd w:val="clear" w:color="auto" w:fill="F1F5F9"/>
          </w:tcPr>
          <w:p>
            <w:pPr>
              <w:spacing w:before="40" w:after="40"/>
            </w:pPr>
            <w:r>
              <w:rPr>
                <w:b/>
                <w:i w:val="0"/>
                <w:color w:val="1E293B"/>
                <w:sz w:val="19"/>
              </w:rPr>
              <w:t>29 800 000</w:t>
            </w:r>
          </w:p>
        </w:tc>
        <w:tc>
          <w:tcPr>
            <w:tcW w:type="dxa" w:w="1701"/>
            <w:shd w:val="clear" w:color="auto" w:fill="F1F5F9"/>
          </w:tcPr>
          <w:p>
            <w:pPr>
              <w:spacing w:before="40" w:after="40"/>
            </w:pPr>
            <w:r>
              <w:rPr>
                <w:b/>
                <w:i w:val="0"/>
                <w:color w:val="1E293B"/>
                <w:sz w:val="19"/>
              </w:rPr>
              <w:t>+ 56,0 %</w:t>
            </w:r>
          </w:p>
        </w:tc>
      </w:tr>
    </w:tbl>
    <w:p>
      <w:pPr>
        <w:spacing w:after="80"/>
      </w:pPr>
    </w:p>
    <w:p>
      <w:pPr>
        <w:spacing w:before="200" w:after="80"/>
        <w:keepLines/>
        <w:keepNext/>
        <w:pBdr>
          <w:bottom w:val="single" w:sz="6" w:space="4" w:color="2563eb"/>
        </w:pBdr>
      </w:pPr>
      <w:r>
        <w:rPr>
          <w:b/>
          <w:i w:val="0"/>
          <w:color w:val="0F1724"/>
          <w:sz w:val="24"/>
        </w:rPr>
        <w:t>Phase 5 — Résultats des 8 contrôles trésorerie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0f1724"/>
          </w:tcPr>
          <w:p>
            <w:pPr>
              <w:spacing w:before="40" w:after="40"/>
            </w:pPr>
            <w:r>
              <w:rPr>
                <w:b/>
                <w:i w:val="0"/>
                <w:color w:val="FFFFFF"/>
                <w:sz w:val="18"/>
              </w:rPr>
              <w:t>Réf.</w:t>
            </w:r>
          </w:p>
        </w:tc>
        <w:tc>
          <w:tcPr>
            <w:tcW w:type="dxa" w:w="1984"/>
            <w:shd w:val="clear" w:color="auto" w:fill="0f1724"/>
          </w:tcPr>
          <w:p>
            <w:pPr>
              <w:spacing w:before="40" w:after="40"/>
            </w:pPr>
            <w:r>
              <w:rPr>
                <w:b/>
                <w:i w:val="0"/>
                <w:color w:val="FFFFFF"/>
                <w:sz w:val="18"/>
              </w:rPr>
              <w:t>Contrôle</w:t>
            </w:r>
          </w:p>
        </w:tc>
        <w:tc>
          <w:tcPr>
            <w:tcW w:type="dxa" w:w="4649"/>
            <w:shd w:val="clear" w:color="auto" w:fill="0f1724"/>
          </w:tcPr>
          <w:p>
            <w:pPr>
              <w:spacing w:before="40" w:after="40"/>
            </w:pPr>
            <w:r>
              <w:rPr>
                <w:b/>
                <w:i w:val="0"/>
                <w:color w:val="FFFFFF"/>
                <w:sz w:val="18"/>
              </w:rPr>
              <w:t>Résultat principal</w:t>
            </w:r>
          </w:p>
        </w:tc>
        <w:tc>
          <w:tcPr>
            <w:tcW w:type="dxa" w:w="1417"/>
            <w:shd w:val="clear" w:color="auto" w:fill="0f1724"/>
          </w:tcPr>
          <w:p>
            <w:pPr>
              <w:spacing w:before="40" w:after="40"/>
            </w:pPr>
            <w:r>
              <w:rPr>
                <w:b/>
                <w:i w:val="0"/>
                <w:color w:val="FFFFFF"/>
                <w:sz w:val="18"/>
              </w:rPr>
              <w:t>Statut</w:t>
            </w:r>
          </w:p>
        </w:tc>
      </w:tr>
      <w:tr>
        <w:tc>
          <w:tcPr>
            <w:tcW w:type="dxa" w:w="1020"/>
            <w:shd w:val="clear" w:color="auto" w:fill="FFFFFF"/>
          </w:tcPr>
          <w:p>
            <w:pPr>
              <w:spacing w:before="40" w:after="40"/>
            </w:pPr>
            <w:r>
              <w:rPr>
                <w:b w:val="0"/>
                <w:i w:val="0"/>
                <w:color w:val="1E293B"/>
                <w:sz w:val="19"/>
              </w:rPr>
              <w:t>TR-01</w:t>
            </w:r>
          </w:p>
        </w:tc>
        <w:tc>
          <w:tcPr>
            <w:tcW w:type="dxa" w:w="1984"/>
            <w:shd w:val="clear" w:color="auto" w:fill="FFFFFF"/>
          </w:tcPr>
          <w:p>
            <w:pPr>
              <w:spacing w:before="40" w:after="40"/>
            </w:pPr>
            <w:r>
              <w:rPr>
                <w:b w:val="0"/>
                <w:i w:val="0"/>
                <w:color w:val="1E293B"/>
                <w:sz w:val="19"/>
              </w:rPr>
              <w:t>Rapprochement balance / grand livre</w:t>
            </w:r>
          </w:p>
        </w:tc>
        <w:tc>
          <w:tcPr>
            <w:tcW w:type="dxa" w:w="4649"/>
            <w:shd w:val="clear" w:color="auto" w:fill="FFFFFF"/>
          </w:tcPr>
          <w:p>
            <w:pPr>
              <w:spacing w:before="40" w:after="40"/>
            </w:pPr>
            <w:r>
              <w:rPr>
                <w:b w:val="0"/>
                <w:i w:val="0"/>
                <w:color w:val="1E293B"/>
                <w:sz w:val="19"/>
              </w:rPr>
              <w:t>Balance = Grand livre = 46 500 000 FCFA. Écart : 0</w:t>
            </w:r>
          </w:p>
        </w:tc>
        <w:tc>
          <w:tcPr>
            <w:tcW w:type="dxa" w:w="1417"/>
            <w:shd w:val="clear" w:color="auto" w:fill="FFFFFF"/>
          </w:tcPr>
          <w:p>
            <w:pPr>
              <w:spacing w:before="40" w:after="40"/>
            </w:pPr>
            <w:r>
              <w:rPr>
                <w:b w:val="0"/>
                <w:i w:val="0"/>
                <w:color w:val="1E293B"/>
                <w:sz w:val="19"/>
              </w:rPr>
              <w:t>Conforme</w:t>
            </w:r>
          </w:p>
        </w:tc>
      </w:tr>
      <w:tr>
        <w:tc>
          <w:tcPr>
            <w:tcW w:type="dxa" w:w="1020"/>
            <w:shd w:val="clear" w:color="auto" w:fill="F8FAFC"/>
          </w:tcPr>
          <w:p>
            <w:pPr>
              <w:spacing w:before="40" w:after="40"/>
            </w:pPr>
            <w:r>
              <w:rPr>
                <w:b w:val="0"/>
                <w:i w:val="0"/>
                <w:color w:val="1E293B"/>
                <w:sz w:val="19"/>
              </w:rPr>
              <w:t>TR-02</w:t>
            </w:r>
          </w:p>
        </w:tc>
        <w:tc>
          <w:tcPr>
            <w:tcW w:type="dxa" w:w="1984"/>
            <w:shd w:val="clear" w:color="auto" w:fill="F8FAFC"/>
          </w:tcPr>
          <w:p>
            <w:pPr>
              <w:spacing w:before="40" w:after="40"/>
            </w:pPr>
            <w:r>
              <w:rPr>
                <w:b w:val="0"/>
                <w:i w:val="0"/>
                <w:color w:val="1E293B"/>
                <w:sz w:val="19"/>
              </w:rPr>
              <w:t>Variation N / N-1</w:t>
            </w:r>
          </w:p>
        </w:tc>
        <w:tc>
          <w:tcPr>
            <w:tcW w:type="dxa" w:w="4649"/>
            <w:shd w:val="clear" w:color="auto" w:fill="F8FAFC"/>
          </w:tcPr>
          <w:p>
            <w:pPr>
              <w:spacing w:before="40" w:after="40"/>
            </w:pPr>
            <w:r>
              <w:rPr>
                <w:b w:val="0"/>
                <w:i w:val="0"/>
                <w:color w:val="1E293B"/>
                <w:sz w:val="19"/>
              </w:rPr>
              <w:t>Progression de + 56,0 % par rapport à l'exercice précédent</w:t>
            </w:r>
          </w:p>
        </w:tc>
        <w:tc>
          <w:tcPr>
            <w:tcW w:type="dxa" w:w="1417"/>
            <w:shd w:val="clear" w:color="auto" w:fill="F8FAFC"/>
          </w:tcPr>
          <w:p>
            <w:pPr>
              <w:spacing w:before="40" w:after="40"/>
            </w:pPr>
            <w:r>
              <w:rPr>
                <w:b w:val="0"/>
                <w:i w:val="0"/>
                <w:color w:val="1E293B"/>
                <w:sz w:val="19"/>
              </w:rPr>
              <w:t>Attention</w:t>
            </w:r>
          </w:p>
        </w:tc>
      </w:tr>
      <w:tr>
        <w:tc>
          <w:tcPr>
            <w:tcW w:type="dxa" w:w="1020"/>
            <w:shd w:val="clear" w:color="auto" w:fill="FFFFFF"/>
          </w:tcPr>
          <w:p>
            <w:pPr>
              <w:spacing w:before="40" w:after="40"/>
            </w:pPr>
            <w:r>
              <w:rPr>
                <w:b w:val="0"/>
                <w:i w:val="0"/>
                <w:color w:val="1E293B"/>
                <w:sz w:val="19"/>
              </w:rPr>
              <w:t>TR-03</w:t>
            </w:r>
          </w:p>
        </w:tc>
        <w:tc>
          <w:tcPr>
            <w:tcW w:type="dxa" w:w="1984"/>
            <w:shd w:val="clear" w:color="auto" w:fill="FFFFFF"/>
          </w:tcPr>
          <w:p>
            <w:pPr>
              <w:spacing w:before="40" w:after="40"/>
            </w:pPr>
            <w:r>
              <w:rPr>
                <w:b w:val="0"/>
                <w:i w:val="0"/>
                <w:color w:val="1E293B"/>
                <w:sz w:val="19"/>
              </w:rPr>
              <w:t>Soldes créditeurs</w:t>
            </w:r>
          </w:p>
        </w:tc>
        <w:tc>
          <w:tcPr>
            <w:tcW w:type="dxa" w:w="4649"/>
            <w:shd w:val="clear" w:color="auto" w:fill="FFFFFF"/>
          </w:tcPr>
          <w:p>
            <w:pPr>
              <w:spacing w:before="40" w:after="40"/>
            </w:pPr>
            <w:r>
              <w:rPr>
                <w:b w:val="0"/>
                <w:i w:val="0"/>
                <w:color w:val="1E293B"/>
                <w:sz w:val="19"/>
              </w:rPr>
              <w:t>Aucun solde créditeur détecté sur les comptes 512, 514 et 531</w:t>
            </w:r>
          </w:p>
        </w:tc>
        <w:tc>
          <w:tcPr>
            <w:tcW w:type="dxa" w:w="1417"/>
            <w:shd w:val="clear" w:color="auto" w:fill="FFFFFF"/>
          </w:tcPr>
          <w:p>
            <w:pPr>
              <w:spacing w:before="40" w:after="40"/>
            </w:pPr>
            <w:r>
              <w:rPr>
                <w:b w:val="0"/>
                <w:i w:val="0"/>
                <w:color w:val="1E293B"/>
                <w:sz w:val="19"/>
              </w:rPr>
              <w:t>Conforme</w:t>
            </w:r>
          </w:p>
        </w:tc>
      </w:tr>
      <w:tr>
        <w:tc>
          <w:tcPr>
            <w:tcW w:type="dxa" w:w="1020"/>
            <w:shd w:val="clear" w:color="auto" w:fill="F8FAFC"/>
          </w:tcPr>
          <w:p>
            <w:pPr>
              <w:spacing w:before="40" w:after="40"/>
            </w:pPr>
            <w:r>
              <w:rPr>
                <w:b w:val="0"/>
                <w:i w:val="0"/>
                <w:color w:val="1E293B"/>
                <w:sz w:val="19"/>
              </w:rPr>
              <w:t>TR-04</w:t>
            </w:r>
          </w:p>
        </w:tc>
        <w:tc>
          <w:tcPr>
            <w:tcW w:type="dxa" w:w="1984"/>
            <w:shd w:val="clear" w:color="auto" w:fill="F8FAFC"/>
          </w:tcPr>
          <w:p>
            <w:pPr>
              <w:spacing w:before="40" w:after="40"/>
            </w:pPr>
            <w:r>
              <w:rPr>
                <w:b w:val="0"/>
                <w:i w:val="0"/>
                <w:color w:val="1E293B"/>
                <w:sz w:val="19"/>
              </w:rPr>
              <w:t>Mouvements d'amplitude anormale</w:t>
            </w:r>
          </w:p>
        </w:tc>
        <w:tc>
          <w:tcPr>
            <w:tcW w:type="dxa" w:w="4649"/>
            <w:shd w:val="clear" w:color="auto" w:fill="F8FAFC"/>
          </w:tcPr>
          <w:p>
            <w:pPr>
              <w:spacing w:before="40" w:after="40"/>
            </w:pPr>
            <w:r>
              <w:rPr>
                <w:b w:val="0"/>
                <w:i w:val="0"/>
                <w:color w:val="1E293B"/>
                <w:sz w:val="19"/>
              </w:rPr>
              <w:t>Pièce 1015 — débit 12 500 000 FCFA (27 % des mouvements débiteurs totaux)</w:t>
            </w:r>
          </w:p>
        </w:tc>
        <w:tc>
          <w:tcPr>
            <w:tcW w:type="dxa" w:w="1417"/>
            <w:shd w:val="clear" w:color="auto" w:fill="F8FAFC"/>
          </w:tcPr>
          <w:p>
            <w:pPr>
              <w:spacing w:before="40" w:after="40"/>
            </w:pPr>
            <w:r>
              <w:rPr>
                <w:b w:val="0"/>
                <w:i w:val="0"/>
                <w:color w:val="1E293B"/>
                <w:sz w:val="19"/>
              </w:rPr>
              <w:t>Anomalie</w:t>
            </w:r>
          </w:p>
        </w:tc>
      </w:tr>
      <w:tr>
        <w:tc>
          <w:tcPr>
            <w:tcW w:type="dxa" w:w="1020"/>
            <w:shd w:val="clear" w:color="auto" w:fill="FFFFFF"/>
          </w:tcPr>
          <w:p>
            <w:pPr>
              <w:spacing w:before="40" w:after="40"/>
            </w:pPr>
            <w:r>
              <w:rPr>
                <w:b w:val="0"/>
                <w:i w:val="0"/>
                <w:color w:val="1E293B"/>
                <w:sz w:val="19"/>
              </w:rPr>
              <w:t>TR-05</w:t>
            </w:r>
          </w:p>
        </w:tc>
        <w:tc>
          <w:tcPr>
            <w:tcW w:type="dxa" w:w="1984"/>
            <w:shd w:val="clear" w:color="auto" w:fill="FFFFFF"/>
          </w:tcPr>
          <w:p>
            <w:pPr>
              <w:spacing w:before="40" w:after="40"/>
            </w:pPr>
            <w:r>
              <w:rPr>
                <w:b w:val="0"/>
                <w:i w:val="0"/>
                <w:color w:val="1E293B"/>
                <w:sz w:val="19"/>
              </w:rPr>
              <w:t>Cohérence des libellés</w:t>
            </w:r>
          </w:p>
        </w:tc>
        <w:tc>
          <w:tcPr>
            <w:tcW w:type="dxa" w:w="4649"/>
            <w:shd w:val="clear" w:color="auto" w:fill="FFFFFF"/>
          </w:tcPr>
          <w:p>
            <w:pPr>
              <w:spacing w:before="40" w:after="40"/>
            </w:pPr>
            <w:r>
              <w:rPr>
                <w:b w:val="0"/>
                <w:i w:val="0"/>
                <w:color w:val="1E293B"/>
                <w:sz w:val="19"/>
              </w:rPr>
              <w:t>3 opérations libellées "Opération diverse" sans référence complémentaire</w:t>
            </w:r>
          </w:p>
        </w:tc>
        <w:tc>
          <w:tcPr>
            <w:tcW w:type="dxa" w:w="1417"/>
            <w:shd w:val="clear" w:color="auto" w:fill="FFFFFF"/>
          </w:tcPr>
          <w:p>
            <w:pPr>
              <w:spacing w:before="40" w:after="40"/>
            </w:pPr>
            <w:r>
              <w:rPr>
                <w:b w:val="0"/>
                <w:i w:val="0"/>
                <w:color w:val="1E293B"/>
                <w:sz w:val="19"/>
              </w:rPr>
              <w:t>Attention</w:t>
            </w:r>
          </w:p>
        </w:tc>
      </w:tr>
      <w:tr>
        <w:tc>
          <w:tcPr>
            <w:tcW w:type="dxa" w:w="1020"/>
            <w:shd w:val="clear" w:color="auto" w:fill="F8FAFC"/>
          </w:tcPr>
          <w:p>
            <w:pPr>
              <w:spacing w:before="40" w:after="40"/>
            </w:pPr>
            <w:r>
              <w:rPr>
                <w:b w:val="0"/>
                <w:i w:val="0"/>
                <w:color w:val="1E293B"/>
                <w:sz w:val="19"/>
              </w:rPr>
              <w:t>TR-06</w:t>
            </w:r>
          </w:p>
        </w:tc>
        <w:tc>
          <w:tcPr>
            <w:tcW w:type="dxa" w:w="1984"/>
            <w:shd w:val="clear" w:color="auto" w:fill="F8FAFC"/>
          </w:tcPr>
          <w:p>
            <w:pPr>
              <w:spacing w:before="40" w:after="40"/>
            </w:pPr>
            <w:r>
              <w:rPr>
                <w:b w:val="0"/>
                <w:i w:val="0"/>
                <w:color w:val="1E293B"/>
                <w:sz w:val="19"/>
              </w:rPr>
              <w:t>Pièces sans référence</w:t>
            </w:r>
          </w:p>
        </w:tc>
        <w:tc>
          <w:tcPr>
            <w:tcW w:type="dxa" w:w="4649"/>
            <w:shd w:val="clear" w:color="auto" w:fill="F8FAFC"/>
          </w:tcPr>
          <w:p>
            <w:pPr>
              <w:spacing w:before="40" w:after="40"/>
            </w:pPr>
            <w:r>
              <w:rPr>
                <w:b w:val="0"/>
                <w:i w:val="0"/>
                <w:color w:val="1E293B"/>
                <w:sz w:val="19"/>
              </w:rPr>
              <w:t>3 pièces sans numéro de référence tiers identifiable</w:t>
            </w:r>
          </w:p>
        </w:tc>
        <w:tc>
          <w:tcPr>
            <w:tcW w:type="dxa" w:w="1417"/>
            <w:shd w:val="clear" w:color="auto" w:fill="F8FAFC"/>
          </w:tcPr>
          <w:p>
            <w:pPr>
              <w:spacing w:before="40" w:after="40"/>
            </w:pPr>
            <w:r>
              <w:rPr>
                <w:b w:val="0"/>
                <w:i w:val="0"/>
                <w:color w:val="1E293B"/>
                <w:sz w:val="19"/>
              </w:rPr>
              <w:t>Attention</w:t>
            </w:r>
          </w:p>
        </w:tc>
      </w:tr>
      <w:tr>
        <w:tc>
          <w:tcPr>
            <w:tcW w:type="dxa" w:w="1020"/>
            <w:shd w:val="clear" w:color="auto" w:fill="FFFFFF"/>
          </w:tcPr>
          <w:p>
            <w:pPr>
              <w:spacing w:before="40" w:after="40"/>
            </w:pPr>
            <w:r>
              <w:rPr>
                <w:b w:val="0"/>
                <w:i w:val="0"/>
                <w:color w:val="1E293B"/>
                <w:sz w:val="19"/>
              </w:rPr>
              <w:t>TR-07</w:t>
            </w:r>
          </w:p>
        </w:tc>
        <w:tc>
          <w:tcPr>
            <w:tcW w:type="dxa" w:w="1984"/>
            <w:shd w:val="clear" w:color="auto" w:fill="FFFFFF"/>
          </w:tcPr>
          <w:p>
            <w:pPr>
              <w:spacing w:before="40" w:after="40"/>
            </w:pPr>
            <w:r>
              <w:rPr>
                <w:b w:val="0"/>
                <w:i w:val="0"/>
                <w:color w:val="1E293B"/>
                <w:sz w:val="19"/>
              </w:rPr>
              <w:t>Doublons de pièces</w:t>
            </w:r>
          </w:p>
        </w:tc>
        <w:tc>
          <w:tcPr>
            <w:tcW w:type="dxa" w:w="4649"/>
            <w:shd w:val="clear" w:color="auto" w:fill="FFFFFF"/>
          </w:tcPr>
          <w:p>
            <w:pPr>
              <w:spacing w:before="40" w:after="40"/>
            </w:pPr>
            <w:r>
              <w:rPr>
                <w:b w:val="0"/>
                <w:i w:val="0"/>
                <w:color w:val="1E293B"/>
                <w:sz w:val="19"/>
              </w:rPr>
              <w:t>Aucun doublon détecté sur l'ensemble des 20 pièces analysées</w:t>
            </w:r>
          </w:p>
        </w:tc>
        <w:tc>
          <w:tcPr>
            <w:tcW w:type="dxa" w:w="1417"/>
            <w:shd w:val="clear" w:color="auto" w:fill="FFFFFF"/>
          </w:tcPr>
          <w:p>
            <w:pPr>
              <w:spacing w:before="40" w:after="40"/>
            </w:pPr>
            <w:r>
              <w:rPr>
                <w:b w:val="0"/>
                <w:i w:val="0"/>
                <w:color w:val="1E293B"/>
                <w:sz w:val="19"/>
              </w:rPr>
              <w:t>Conforme</w:t>
            </w:r>
          </w:p>
        </w:tc>
      </w:tr>
      <w:tr>
        <w:tc>
          <w:tcPr>
            <w:tcW w:type="dxa" w:w="1020"/>
            <w:shd w:val="clear" w:color="auto" w:fill="F8FAFC"/>
          </w:tcPr>
          <w:p>
            <w:pPr>
              <w:spacing w:before="40" w:after="40"/>
            </w:pPr>
            <w:r>
              <w:rPr>
                <w:b w:val="0"/>
                <w:i w:val="0"/>
                <w:color w:val="1E293B"/>
                <w:sz w:val="19"/>
              </w:rPr>
              <w:t>TR-08</w:t>
            </w:r>
          </w:p>
        </w:tc>
        <w:tc>
          <w:tcPr>
            <w:tcW w:type="dxa" w:w="1984"/>
            <w:shd w:val="clear" w:color="auto" w:fill="F8FAFC"/>
          </w:tcPr>
          <w:p>
            <w:pPr>
              <w:spacing w:before="40" w:after="40"/>
            </w:pPr>
            <w:r>
              <w:rPr>
                <w:b w:val="0"/>
                <w:i w:val="0"/>
                <w:color w:val="1E293B"/>
                <w:sz w:val="19"/>
              </w:rPr>
              <w:t>Concentration des mouvements</w:t>
            </w:r>
          </w:p>
        </w:tc>
        <w:tc>
          <w:tcPr>
            <w:tcW w:type="dxa" w:w="4649"/>
            <w:shd w:val="clear" w:color="auto" w:fill="F8FAFC"/>
          </w:tcPr>
          <w:p>
            <w:pPr>
              <w:spacing w:before="40" w:after="40"/>
            </w:pPr>
            <w:r>
              <w:rPr>
                <w:b w:val="0"/>
                <w:i w:val="0"/>
                <w:color w:val="1E293B"/>
                <w:sz w:val="19"/>
              </w:rPr>
              <w:t>Le compte 512 concentre 68 % des mouvements totaux</w:t>
            </w:r>
          </w:p>
        </w:tc>
        <w:tc>
          <w:tcPr>
            <w:tcW w:type="dxa" w:w="1417"/>
            <w:shd w:val="clear" w:color="auto" w:fill="F8FAFC"/>
          </w:tcPr>
          <w:p>
            <w:pPr>
              <w:spacing w:before="40" w:after="40"/>
            </w:pPr>
            <w:r>
              <w:rPr>
                <w:b w:val="0"/>
                <w:i w:val="0"/>
                <w:color w:val="1E293B"/>
                <w:sz w:val="19"/>
              </w:rPr>
              <w:t>Attention</w:t>
            </w:r>
          </w:p>
        </w:tc>
      </w:tr>
    </w:tbl>
    <w:p>
      <w:pPr>
        <w:spacing w:after="80"/>
      </w:pPr>
    </w:p>
    <w:p>
      <w:pPr>
        <w:spacing w:after="120" w:before="0"/>
      </w:pPr>
      <w:r>
        <w:rPr>
          <w:b w:val="0"/>
          <w:i w:val="0"/>
          <w:color w:val="1E293B"/>
          <w:sz w:val="21"/>
        </w:rPr>
        <w:t>3 contrôles conformes, 4 points d'attention, 1 anomalie. 5 exceptions sont générées et soumises à qualification.</w:t>
      </w:r>
    </w:p>
    <w:p>
      <w:pPr>
        <w:spacing w:before="200" w:after="80"/>
        <w:keepLines/>
        <w:keepNext/>
        <w:pBdr>
          <w:bottom w:val="single" w:sz="6" w:space="4" w:color="2563eb"/>
        </w:pBdr>
      </w:pPr>
      <w:r>
        <w:rPr>
          <w:b/>
          <w:i w:val="0"/>
          <w:color w:val="0F1724"/>
          <w:sz w:val="24"/>
        </w:rPr>
        <w:t>Phase 6 — Qualification des exceptions</w:t>
      </w:r>
    </w:p>
    <w:p>
      <w:pPr>
        <w:spacing w:before="80" w:after="20"/>
        <w:keepLines/>
        <w:keepNext/>
      </w:pPr>
      <w:r>
        <w:rPr>
          <w:b/>
          <w:i w:val="0"/>
          <w:color w:val="0F1724"/>
          <w:sz w:val="20"/>
        </w:rPr>
        <w:t>EXC-001 — Mouvement d'amplitude anormale (TR-04) — Sévérité : Critique</w:t>
      </w:r>
    </w:p>
    <w:p>
      <w:pPr>
        <w:spacing w:after="20"/>
      </w:pPr>
      <w:r>
        <w:rPr>
          <w:b/>
          <w:i w:val="0"/>
          <w:color w:val="1E293B"/>
          <w:sz w:val="20"/>
        </w:rPr>
        <w:t xml:space="preserve">Observation : </w:t>
      </w:r>
      <w:r>
        <w:rPr>
          <w:b w:val="0"/>
          <w:i w:val="0"/>
          <w:color w:val="1E293B"/>
          <w:sz w:val="20"/>
        </w:rPr>
        <w:t>La pièce 1015 représente un débit de 12 500 000 FCFA sur le compte 512, soit 27 % du total des mouvements débiteurs. La moyenne des opérations s'établit à 1 850 000 FCFA.</w:t>
      </w:r>
    </w:p>
    <w:p>
      <w:pPr>
        <w:spacing w:after="20"/>
      </w:pPr>
      <w:r>
        <w:rPr>
          <w:b/>
          <w:i w:val="0"/>
          <w:color w:val="1E293B"/>
          <w:sz w:val="20"/>
        </w:rPr>
        <w:t xml:space="preserve">Analyse IA : </w:t>
      </w:r>
      <w:r>
        <w:rPr>
          <w:b w:val="0"/>
          <w:i/>
          <w:color w:val="475569"/>
          <w:sz w:val="20"/>
        </w:rPr>
        <w:t>« Cette transaction excède significativement le profil des opérations de l'exercice. L'absence de libellé explicite et la concentration sur un seul compte en font une zone de risque prioritaire. Il est recommandé d'obtenir le bordereau de remise ou l'ordre de virement correspondant. »</w:t>
      </w:r>
    </w:p>
    <w:p>
      <w:pPr>
        <w:spacing w:after="120"/>
      </w:pPr>
      <w:r>
        <w:rPr>
          <w:b/>
          <w:i w:val="0"/>
          <w:color w:val="1E293B"/>
          <w:sz w:val="20"/>
        </w:rPr>
        <w:t xml:space="preserve">Qualification retenue : </w:t>
      </w:r>
      <w:r>
        <w:rPr>
          <w:b/>
          <w:i w:val="0"/>
          <w:color w:val="0F1724"/>
          <w:sz w:val="20"/>
        </w:rPr>
        <w:t>Exception significative — pièce justificative demandée au client.</w:t>
      </w:r>
    </w:p>
    <w:p>
      <w:pPr>
        <w:spacing w:before="80" w:after="20"/>
        <w:keepLines/>
        <w:keepNext/>
      </w:pPr>
      <w:r>
        <w:rPr>
          <w:b/>
          <w:i w:val="0"/>
          <w:color w:val="0F1724"/>
          <w:sz w:val="20"/>
        </w:rPr>
        <w:t>EXC-002 — Variation trésorerie + 56 % (TR-02) — Sévérité : Significative</w:t>
      </w:r>
    </w:p>
    <w:p>
      <w:pPr>
        <w:spacing w:after="20"/>
      </w:pPr>
      <w:r>
        <w:rPr>
          <w:b/>
          <w:i w:val="0"/>
          <w:color w:val="1E293B"/>
          <w:sz w:val="20"/>
        </w:rPr>
        <w:t xml:space="preserve">Observation : </w:t>
      </w:r>
      <w:r>
        <w:rPr>
          <w:b w:val="0"/>
          <w:i w:val="0"/>
          <w:color w:val="1E293B"/>
          <w:sz w:val="20"/>
        </w:rPr>
        <w:t>La trésorerie globale progresse de 29 800 000 FCFA à 46 500 000 FCFA, soit + 56 %.</w:t>
      </w:r>
    </w:p>
    <w:p>
      <w:pPr>
        <w:spacing w:after="20"/>
      </w:pPr>
      <w:r>
        <w:rPr>
          <w:b/>
          <w:i w:val="0"/>
          <w:color w:val="1E293B"/>
          <w:sz w:val="20"/>
        </w:rPr>
        <w:t xml:space="preserve">Analyse IA : </w:t>
      </w:r>
      <w:r>
        <w:rPr>
          <w:b w:val="0"/>
          <w:i/>
          <w:color w:val="475569"/>
          <w:sz w:val="20"/>
        </w:rPr>
        <w:t>« Une progression de cette ampleur mérite explication. Causes possibles : mobilisation d'un crédit bancaire, cession d'actifs, réduction du besoin en fonds de roulement. La comparaison avec l'évolution du passif financier est recommandée. »</w:t>
      </w:r>
    </w:p>
    <w:p>
      <w:pPr>
        <w:spacing w:after="120"/>
      </w:pPr>
      <w:r>
        <w:rPr>
          <w:b/>
          <w:i w:val="0"/>
          <w:color w:val="1E293B"/>
          <w:sz w:val="20"/>
        </w:rPr>
        <w:t xml:space="preserve">Qualification retenue : </w:t>
      </w:r>
      <w:r>
        <w:rPr>
          <w:b/>
          <w:i w:val="0"/>
          <w:color w:val="0F1724"/>
          <w:sz w:val="20"/>
        </w:rPr>
        <w:t>Non significative — variation expliquée par un emprunt bancaire de 18 000 000 FCFA contracté en mars 2024. Contrat obtenu et vérifié.</w:t>
      </w:r>
    </w:p>
    <w:p>
      <w:pPr>
        <w:spacing w:before="80" w:after="20"/>
        <w:keepLines/>
        <w:keepNext/>
      </w:pPr>
      <w:r>
        <w:rPr>
          <w:b/>
          <w:i w:val="0"/>
          <w:color w:val="0F1724"/>
          <w:sz w:val="20"/>
        </w:rPr>
        <w:t>EXC-003 à EXC-005 — Libellés génériques et pièces sans référence (TR-05 / TR-06) — Sévérité : Mineure</w:t>
      </w:r>
    </w:p>
    <w:p>
      <w:pPr>
        <w:spacing w:after="20"/>
      </w:pPr>
      <w:r>
        <w:rPr>
          <w:b/>
          <w:i w:val="0"/>
          <w:color w:val="1E293B"/>
          <w:sz w:val="20"/>
        </w:rPr>
        <w:t xml:space="preserve">Observation : </w:t>
      </w:r>
      <w:r>
        <w:rPr>
          <w:b w:val="0"/>
          <w:i w:val="0"/>
          <w:color w:val="1E293B"/>
          <w:sz w:val="20"/>
        </w:rPr>
        <w:t>3 opérations libellées "Opération diverse" sans référence tiers, montant total 1 350 000 FCFA (inférieur au seuil de 2 325 000 FCFA).</w:t>
      </w:r>
    </w:p>
    <w:p>
      <w:pPr>
        <w:spacing w:after="20"/>
      </w:pPr>
      <w:r>
        <w:rPr>
          <w:b/>
          <w:i w:val="0"/>
          <w:color w:val="1E293B"/>
          <w:sz w:val="20"/>
        </w:rPr>
        <w:t xml:space="preserve">Analyse IA : </w:t>
      </w:r>
      <w:r>
        <w:rPr>
          <w:b w:val="0"/>
          <w:i/>
          <w:color w:val="475569"/>
          <w:sz w:val="20"/>
        </w:rPr>
      </w:r>
    </w:p>
    <w:p>
      <w:pPr>
        <w:spacing w:after="120"/>
      </w:pPr>
      <w:r>
        <w:rPr>
          <w:b/>
          <w:i w:val="0"/>
          <w:color w:val="1E293B"/>
          <w:sz w:val="20"/>
        </w:rPr>
        <w:t xml:space="preserve">Qualification retenue : </w:t>
      </w:r>
      <w:r>
        <w:rPr>
          <w:b/>
          <w:i w:val="0"/>
          <w:color w:val="0F1724"/>
          <w:sz w:val="20"/>
        </w:rPr>
        <w:t>Mineure — inférieure au seuil. Recommandation formulée dans le rapport.</w:t>
      </w:r>
    </w:p>
    <w:p>
      <w:pPr>
        <w:spacing w:after="120" w:before="0"/>
      </w:pPr>
      <w:r>
        <w:rPr>
          <w:b w:val="0"/>
          <w:i w:val="0"/>
          <w:color w:val="1E293B"/>
          <w:sz w:val="21"/>
        </w:rPr>
        <w:t>Les 5 exceptions sont intégralement qualifiées. La génération du dossier est débloquée.</w:t>
      </w:r>
    </w:p>
    <w:p>
      <w:pPr>
        <w:spacing w:before="200" w:after="80"/>
        <w:keepLines/>
        <w:keepNext/>
        <w:pBdr>
          <w:bottom w:val="single" w:sz="6" w:space="4" w:color="2563eb"/>
        </w:pBdr>
      </w:pPr>
      <w:r>
        <w:rPr>
          <w:b/>
          <w:i w:val="0"/>
          <w:color w:val="0F1724"/>
          <w:sz w:val="24"/>
        </w:rPr>
        <w:t>Phase 7 — Extrait de la conclusion de cycle</w:t>
      </w:r>
    </w:p>
    <w:p>
      <w:pPr>
        <w:spacing w:before="80" w:after="160"/>
        <w:ind w:left="454" w:right="454"/>
        <w:pBdr>
          <w:left w:val="single" w:sz="12" w:space="8" w:color="2563eb"/>
        </w:pBdr>
        <w:shd w:val="clear" w:color="auto" w:fill="EFF6FF"/>
      </w:pPr>
      <w:r>
        <w:rPr>
          <w:b w:val="0"/>
          <w:i/>
          <w:color w:val="1E3A8A"/>
          <w:sz w:val="20"/>
        </w:rPr>
        <w:t>« Les travaux substantifs réalisés sur le cycle trésorerie de DALOL Trading SARL au titre de l'exercice clos le 31 décembre 2024 n'ont pas mis en évidence d'anomalie significative non expliquée. La progression de la trésorerie de + 56 % s'explique par la mobilisation d'un emprunt bancaire documenté. Un mouvement unitaire d'amplitude significative (pièce 1015, 12 500 000 FCFA) est en cours de justification. Des observations portant sur la qualité des libellés ont été formulées à titre de recommandation. Sous réserve de la réception et de la vérification de la pièce relative à EXC-001, les soldes trésorerie au 31 décembre 2024 peuvent être retenus. »</w:t>
      </w:r>
    </w:p>
    <w:p>
      <w:r>
        <w:br w:type="page"/>
      </w:r>
    </w:p>
    <w:p>
      <w:pPr>
        <w:spacing w:before="0" w:after="40"/>
      </w:pPr>
      <w:r>
        <w:rPr>
          <w:b/>
          <w:i w:val="0"/>
          <w:color w:val="2563EB"/>
          <w:sz w:val="16"/>
        </w:rPr>
        <w:t>CHAPITRE 6</w:t>
      </w:r>
    </w:p>
    <w:p>
      <w:pPr>
        <w:spacing w:before="80" w:after="40"/>
        <w:keepLines/>
        <w:keepNext/>
      </w:pPr>
      <w:r>
        <w:rPr>
          <w:b/>
          <w:i w:val="0"/>
          <w:color w:val="0F1724"/>
          <w:sz w:val="44"/>
        </w:rPr>
        <w:t>Utilisation par profil au sein du cabinet</w:t>
      </w:r>
    </w:p>
    <w:p>
      <w:pPr>
        <w:spacing w:before="0" w:after="160"/>
      </w:pPr>
      <w:r>
        <w:rPr>
          <w:b w:val="0"/>
          <w:i w:val="0"/>
          <w:color w:val="64748B"/>
          <w:sz w:val="22"/>
        </w:rPr>
        <w:t>Probare est conçu pour être utilisé à tous les niveaux de l'équipe d'audit, avec des responsabilités distinctes par phase.</w:t>
      </w:r>
    </w:p>
    <w:p>
      <w:pPr>
        <w:spacing w:before="40" w:after="160"/>
        <w:pBdr>
          <w:bottom w:val="single" w:sz="4" w:space="1" w:color="E2E8F0"/>
        </w:pBdr>
      </w:pPr>
    </w:p>
    <w:p>
      <w:pPr>
        <w:spacing w:before="120" w:after="20"/>
        <w:keepLines/>
        <w:keepNext/>
      </w:pPr>
      <w:r>
        <w:rPr>
          <w:b/>
          <w:i w:val="0"/>
          <w:color w:val="0F1724"/>
          <w:sz w:val="22"/>
        </w:rPr>
        <w:t>Associé — Directeur de mission</w:t>
      </w:r>
    </w:p>
    <w:p>
      <w:pPr>
        <w:spacing w:after="40"/>
      </w:pPr>
      <w:r>
        <w:rPr>
          <w:b/>
          <w:i w:val="0"/>
          <w:color w:val="2563EB"/>
          <w:sz w:val="15"/>
        </w:rPr>
        <w:t>RESPONSABILITÉS : CADRAGE, VALIDATION DES EXCEPTIONS SIGNIFICATIVES, FORMATION DE L'OPINION</w:t>
      </w:r>
    </w:p>
    <w:p>
      <w:pPr>
        <w:spacing w:after="160" w:before="0"/>
      </w:pPr>
      <w:r>
        <w:rPr>
          <w:b w:val="0"/>
          <w:i w:val="0"/>
          <w:color w:val="1E293B"/>
          <w:sz w:val="21"/>
        </w:rPr>
        <w:t>L'associé accède au tableau de bord de la mission à tout moment : état d'avancement par phase, exceptions ouvertes, statut des contrôles. Il valide les exceptions qualifiées de significatives et signe l'opinion en phase 8. La contrainte de séquencement du pipeline empêche la génération d'un dossier incomplet. La piste d'audit intégrée — chaque décision horodatée et attribuée — facilite les contrôles qualité internes et les inspections professionnelles.</w:t>
      </w:r>
    </w:p>
    <w:p>
      <w:pPr>
        <w:spacing w:before="120" w:after="20"/>
        <w:keepLines/>
        <w:keepNext/>
      </w:pPr>
      <w:r>
        <w:rPr>
          <w:b/>
          <w:i w:val="0"/>
          <w:color w:val="0F1724"/>
          <w:sz w:val="22"/>
        </w:rPr>
        <w:t>Manager — Chef de mission</w:t>
      </w:r>
    </w:p>
    <w:p>
      <w:pPr>
        <w:spacing w:after="40"/>
      </w:pPr>
      <w:r>
        <w:rPr>
          <w:b/>
          <w:i w:val="0"/>
          <w:color w:val="2563EB"/>
          <w:sz w:val="15"/>
        </w:rPr>
        <w:t>RESPONSABILITÉS : PILOTAGE DU WORKFLOW, REVUE DES EXCEPTIONS, SUPERVISION DES TRAVAUX</w:t>
      </w:r>
    </w:p>
    <w:p>
      <w:pPr>
        <w:spacing w:after="160" w:before="0"/>
      </w:pPr>
      <w:r>
        <w:rPr>
          <w:b w:val="0"/>
          <w:i w:val="0"/>
          <w:color w:val="1E293B"/>
          <w:sz w:val="21"/>
        </w:rPr>
        <w:t>Le manager supervise l'avancement phase par phase et coordonne la collecte des données avec le client. Il revoit les résultats des contrôles et oriente la qualification des exceptions avant soumission à l'associé. La structuration imposée par le pipeline rend la revue systématique et documentée : chaque décision est tracée et consultable. La génération automatique des feuilles de travail réduit le temps consacré à la rédaction documentaire.</w:t>
      </w:r>
    </w:p>
    <w:p>
      <w:pPr>
        <w:spacing w:before="120" w:after="20"/>
        <w:keepLines/>
        <w:keepNext/>
      </w:pPr>
      <w:r>
        <w:rPr>
          <w:b/>
          <w:i w:val="0"/>
          <w:color w:val="0F1724"/>
          <w:sz w:val="22"/>
        </w:rPr>
        <w:t>Collaborateur — Auditeur junior ou senior</w:t>
      </w:r>
    </w:p>
    <w:p>
      <w:pPr>
        <w:spacing w:after="40"/>
      </w:pPr>
      <w:r>
        <w:rPr>
          <w:b/>
          <w:i w:val="0"/>
          <w:color w:val="2563EB"/>
          <w:sz w:val="15"/>
        </w:rPr>
        <w:t>RESPONSABILITÉS : IMPORT DES DONNÉES, EXÉCUTION DES CONTRÔLES, PREMIÈRE QUALIFICATION DES EXCEPTIONS MINEURES</w:t>
      </w:r>
    </w:p>
    <w:p>
      <w:pPr>
        <w:spacing w:after="160" w:before="0"/>
      </w:pPr>
      <w:r>
        <w:rPr>
          <w:b w:val="0"/>
          <w:i w:val="0"/>
          <w:color w:val="1E293B"/>
          <w:sz w:val="21"/>
        </w:rPr>
        <w:t>Le collaborateur réalise l'ingestion des données et valide le mapping des colonnes. Une fois les données importées, l'exécution des contrôles est déclenchée en un seul geste. Le collaborateur instruit les exceptions de sévérité mineure et documente les informations complémentaires obtenues du client. Le catalogue de contrôles étant fixe et exhaustif, aucun test ne peut être omis par inadvertance.</w:t>
      </w:r>
    </w:p>
    <w:p>
      <w:pPr>
        <w:spacing w:before="200" w:after="80"/>
        <w:keepLines/>
        <w:keepNext/>
        <w:pBdr>
          <w:bottom w:val="single" w:sz="6" w:space="4" w:color="2563eb"/>
        </w:pBdr>
      </w:pPr>
      <w:r>
        <w:rPr>
          <w:b/>
          <w:i w:val="0"/>
          <w:color w:val="0F1724"/>
          <w:sz w:val="24"/>
        </w:rPr>
        <w:t>Répartition indicative des tâches par phase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f1724"/>
          </w:tcPr>
          <w:p>
            <w:pPr>
              <w:spacing w:before="40" w:after="40"/>
            </w:pPr>
            <w:r>
              <w:rPr>
                <w:b/>
                <w:i w:val="0"/>
                <w:color w:val="FFFFFF"/>
                <w:sz w:val="18"/>
              </w:rPr>
              <w:t>Phase</w:t>
            </w:r>
          </w:p>
        </w:tc>
        <w:tc>
          <w:tcPr>
            <w:tcW w:type="dxa" w:w="2551"/>
            <w:shd w:val="clear" w:color="auto" w:fill="0f1724"/>
          </w:tcPr>
          <w:p>
            <w:pPr>
              <w:spacing w:before="40" w:after="40"/>
            </w:pPr>
            <w:r>
              <w:rPr>
                <w:b/>
                <w:i w:val="0"/>
                <w:color w:val="FFFFFF"/>
                <w:sz w:val="18"/>
              </w:rPr>
              <w:t>Collaborateur</w:t>
            </w:r>
          </w:p>
        </w:tc>
        <w:tc>
          <w:tcPr>
            <w:tcW w:type="dxa" w:w="2551"/>
            <w:shd w:val="clear" w:color="auto" w:fill="0f1724"/>
          </w:tcPr>
          <w:p>
            <w:pPr>
              <w:spacing w:before="40" w:after="40"/>
            </w:pPr>
            <w:r>
              <w:rPr>
                <w:b/>
                <w:i w:val="0"/>
                <w:color w:val="FFFFFF"/>
                <w:sz w:val="18"/>
              </w:rPr>
              <w:t>Manager</w:t>
            </w:r>
          </w:p>
        </w:tc>
        <w:tc>
          <w:tcPr>
            <w:tcW w:type="dxa" w:w="1984"/>
            <w:shd w:val="clear" w:color="auto" w:fill="0f1724"/>
          </w:tcPr>
          <w:p>
            <w:pPr>
              <w:spacing w:before="40" w:after="40"/>
            </w:pPr>
            <w:r>
              <w:rPr>
                <w:b/>
                <w:i w:val="0"/>
                <w:color w:val="FFFFFF"/>
                <w:sz w:val="18"/>
              </w:rPr>
              <w:t>Associé</w:t>
            </w:r>
          </w:p>
        </w:tc>
      </w:tr>
      <w:tr>
        <w:tc>
          <w:tcPr>
            <w:tcW w:type="dxa" w:w="1984"/>
            <w:shd w:val="clear" w:color="auto" w:fill="FFFFFF"/>
          </w:tcPr>
          <w:p>
            <w:pPr>
              <w:spacing w:before="40" w:after="40"/>
            </w:pPr>
            <w:r>
              <w:rPr>
                <w:b w:val="0"/>
                <w:i w:val="0"/>
                <w:color w:val="1E293B"/>
                <w:sz w:val="19"/>
              </w:rPr>
              <w:t>1 — Cadrage</w:t>
            </w:r>
          </w:p>
        </w:tc>
        <w:tc>
          <w:tcPr>
            <w:tcW w:type="dxa" w:w="2551"/>
            <w:shd w:val="clear" w:color="auto" w:fill="FFFFFF"/>
          </w:tcPr>
          <w:p>
            <w:pPr>
              <w:spacing w:before="40" w:after="40"/>
            </w:pPr>
            <w:r>
              <w:rPr>
                <w:b w:val="0"/>
                <w:i w:val="0"/>
                <w:color w:val="1E293B"/>
                <w:sz w:val="19"/>
              </w:rPr>
              <w:t>Saisie</w:t>
            </w:r>
          </w:p>
        </w:tc>
        <w:tc>
          <w:tcPr>
            <w:tcW w:type="dxa" w:w="2551"/>
            <w:shd w:val="clear" w:color="auto" w:fill="FFFFFF"/>
          </w:tcPr>
          <w:p>
            <w:pPr>
              <w:spacing w:before="40" w:after="40"/>
            </w:pPr>
            <w:r>
              <w:rPr>
                <w:b w:val="0"/>
                <w:i w:val="0"/>
                <w:color w:val="1E293B"/>
                <w:sz w:val="19"/>
              </w:rPr>
              <w:t>Validation</w:t>
            </w:r>
          </w:p>
        </w:tc>
        <w:tc>
          <w:tcPr>
            <w:tcW w:type="dxa" w:w="1984"/>
            <w:shd w:val="clear" w:color="auto" w:fill="FFFFFF"/>
          </w:tcPr>
          <w:p>
            <w:pPr>
              <w:spacing w:before="40" w:after="40"/>
            </w:pPr>
            <w:r>
              <w:rPr>
                <w:b w:val="0"/>
                <w:i w:val="0"/>
                <w:color w:val="1E293B"/>
                <w:sz w:val="19"/>
              </w:rPr>
              <w:t>Approbation</w:t>
            </w:r>
          </w:p>
        </w:tc>
      </w:tr>
      <w:tr>
        <w:tc>
          <w:tcPr>
            <w:tcW w:type="dxa" w:w="1984"/>
            <w:shd w:val="clear" w:color="auto" w:fill="F8FAFC"/>
          </w:tcPr>
          <w:p>
            <w:pPr>
              <w:spacing w:before="40" w:after="40"/>
            </w:pPr>
            <w:r>
              <w:rPr>
                <w:b w:val="0"/>
                <w:i w:val="0"/>
                <w:color w:val="1E293B"/>
                <w:sz w:val="19"/>
              </w:rPr>
              <w:t>2 — QCI</w:t>
            </w:r>
          </w:p>
        </w:tc>
        <w:tc>
          <w:tcPr>
            <w:tcW w:type="dxa" w:w="2551"/>
            <w:shd w:val="clear" w:color="auto" w:fill="F8FAFC"/>
          </w:tcPr>
          <w:p>
            <w:pPr>
              <w:spacing w:before="40" w:after="40"/>
            </w:pPr>
            <w:r>
              <w:rPr>
                <w:b w:val="0"/>
                <w:i w:val="0"/>
                <w:color w:val="1E293B"/>
                <w:sz w:val="19"/>
              </w:rPr>
              <w:t>Saisie</w:t>
            </w:r>
          </w:p>
        </w:tc>
        <w:tc>
          <w:tcPr>
            <w:tcW w:type="dxa" w:w="2551"/>
            <w:shd w:val="clear" w:color="auto" w:fill="F8FAFC"/>
          </w:tcPr>
          <w:p>
            <w:pPr>
              <w:spacing w:before="40" w:after="40"/>
            </w:pPr>
            <w:r>
              <w:rPr>
                <w:b w:val="0"/>
                <w:i w:val="0"/>
                <w:color w:val="1E293B"/>
                <w:sz w:val="19"/>
              </w:rPr>
              <w:t>Revue</w:t>
            </w:r>
          </w:p>
        </w:tc>
        <w:tc>
          <w:tcPr>
            <w:tcW w:type="dxa" w:w="1984"/>
            <w:shd w:val="clear" w:color="auto" w:fill="F8FAFC"/>
          </w:tcPr>
          <w:p>
            <w:pPr>
              <w:spacing w:before="40" w:after="40"/>
            </w:pPr>
            <w:r>
              <w:rPr>
                <w:b w:val="0"/>
                <w:i w:val="0"/>
                <w:color w:val="1E293B"/>
                <w:sz w:val="19"/>
              </w:rPr>
              <w:t>—</w:t>
            </w:r>
          </w:p>
        </w:tc>
      </w:tr>
      <w:tr>
        <w:tc>
          <w:tcPr>
            <w:tcW w:type="dxa" w:w="1984"/>
            <w:shd w:val="clear" w:color="auto" w:fill="FFFFFF"/>
          </w:tcPr>
          <w:p>
            <w:pPr>
              <w:spacing w:before="40" w:after="40"/>
            </w:pPr>
            <w:r>
              <w:rPr>
                <w:b w:val="0"/>
                <w:i w:val="0"/>
                <w:color w:val="1E293B"/>
                <w:sz w:val="19"/>
              </w:rPr>
              <w:t>3 — Ingestion</w:t>
            </w:r>
          </w:p>
        </w:tc>
        <w:tc>
          <w:tcPr>
            <w:tcW w:type="dxa" w:w="2551"/>
            <w:shd w:val="clear" w:color="auto" w:fill="FFFFFF"/>
          </w:tcPr>
          <w:p>
            <w:pPr>
              <w:spacing w:before="40" w:after="40"/>
            </w:pPr>
            <w:r>
              <w:rPr>
                <w:b w:val="0"/>
                <w:i w:val="0"/>
                <w:color w:val="1E293B"/>
                <w:sz w:val="19"/>
              </w:rPr>
              <w:t>Import, mapping</w:t>
            </w:r>
          </w:p>
        </w:tc>
        <w:tc>
          <w:tcPr>
            <w:tcW w:type="dxa" w:w="2551"/>
            <w:shd w:val="clear" w:color="auto" w:fill="FFFFFF"/>
          </w:tcPr>
          <w:p>
            <w:pPr>
              <w:spacing w:before="40" w:after="40"/>
            </w:pPr>
            <w:r>
              <w:rPr>
                <w:b w:val="0"/>
                <w:i w:val="0"/>
                <w:color w:val="1E293B"/>
                <w:sz w:val="19"/>
              </w:rPr>
              <w:t>Vérification</w:t>
            </w:r>
          </w:p>
        </w:tc>
        <w:tc>
          <w:tcPr>
            <w:tcW w:type="dxa" w:w="1984"/>
            <w:shd w:val="clear" w:color="auto" w:fill="FFFFFF"/>
          </w:tcPr>
          <w:p>
            <w:pPr>
              <w:spacing w:before="40" w:after="40"/>
            </w:pPr>
            <w:r>
              <w:rPr>
                <w:b w:val="0"/>
                <w:i w:val="0"/>
                <w:color w:val="1E293B"/>
                <w:sz w:val="19"/>
              </w:rPr>
              <w:t>—</w:t>
            </w:r>
          </w:p>
        </w:tc>
      </w:tr>
      <w:tr>
        <w:tc>
          <w:tcPr>
            <w:tcW w:type="dxa" w:w="1984"/>
            <w:shd w:val="clear" w:color="auto" w:fill="F8FAFC"/>
          </w:tcPr>
          <w:p>
            <w:pPr>
              <w:spacing w:before="40" w:after="40"/>
            </w:pPr>
            <w:r>
              <w:rPr>
                <w:b w:val="0"/>
                <w:i w:val="0"/>
                <w:color w:val="1E293B"/>
                <w:sz w:val="19"/>
              </w:rPr>
              <w:t>4 — Planification</w:t>
            </w:r>
          </w:p>
        </w:tc>
        <w:tc>
          <w:tcPr>
            <w:tcW w:type="dxa" w:w="2551"/>
            <w:shd w:val="clear" w:color="auto" w:fill="F8FAFC"/>
          </w:tcPr>
          <w:p>
            <w:pPr>
              <w:spacing w:before="40" w:after="40"/>
            </w:pPr>
            <w:r>
              <w:rPr>
                <w:b w:val="0"/>
                <w:i w:val="0"/>
                <w:color w:val="1E293B"/>
                <w:sz w:val="19"/>
              </w:rPr>
              <w:t>—</w:t>
            </w:r>
          </w:p>
        </w:tc>
        <w:tc>
          <w:tcPr>
            <w:tcW w:type="dxa" w:w="2551"/>
            <w:shd w:val="clear" w:color="auto" w:fill="F8FAFC"/>
          </w:tcPr>
          <w:p>
            <w:pPr>
              <w:spacing w:before="40" w:after="40"/>
            </w:pPr>
            <w:r>
              <w:rPr>
                <w:b w:val="0"/>
                <w:i w:val="0"/>
                <w:color w:val="1E293B"/>
                <w:sz w:val="19"/>
              </w:rPr>
              <w:t>Révision programme</w:t>
            </w:r>
          </w:p>
        </w:tc>
        <w:tc>
          <w:tcPr>
            <w:tcW w:type="dxa" w:w="1984"/>
            <w:shd w:val="clear" w:color="auto" w:fill="F8FAFC"/>
          </w:tcPr>
          <w:p>
            <w:pPr>
              <w:spacing w:before="40" w:after="40"/>
            </w:pPr>
            <w:r>
              <w:rPr>
                <w:b w:val="0"/>
                <w:i w:val="0"/>
                <w:color w:val="1E293B"/>
                <w:sz w:val="19"/>
              </w:rPr>
              <w:t>Approbation</w:t>
            </w:r>
          </w:p>
        </w:tc>
      </w:tr>
      <w:tr>
        <w:tc>
          <w:tcPr>
            <w:tcW w:type="dxa" w:w="1984"/>
            <w:shd w:val="clear" w:color="auto" w:fill="FFFFFF"/>
          </w:tcPr>
          <w:p>
            <w:pPr>
              <w:spacing w:before="40" w:after="40"/>
            </w:pPr>
            <w:r>
              <w:rPr>
                <w:b w:val="0"/>
                <w:i w:val="0"/>
                <w:color w:val="1E293B"/>
                <w:sz w:val="19"/>
              </w:rPr>
              <w:t>5 — Contrôles</w:t>
            </w:r>
          </w:p>
        </w:tc>
        <w:tc>
          <w:tcPr>
            <w:tcW w:type="dxa" w:w="2551"/>
            <w:shd w:val="clear" w:color="auto" w:fill="FFFFFF"/>
          </w:tcPr>
          <w:p>
            <w:pPr>
              <w:spacing w:before="40" w:after="40"/>
            </w:pPr>
            <w:r>
              <w:rPr>
                <w:b w:val="0"/>
                <w:i w:val="0"/>
                <w:color w:val="1E293B"/>
                <w:sz w:val="19"/>
              </w:rPr>
              <w:t>Déclenchement, revue résultats</w:t>
            </w:r>
          </w:p>
        </w:tc>
        <w:tc>
          <w:tcPr>
            <w:tcW w:type="dxa" w:w="2551"/>
            <w:shd w:val="clear" w:color="auto" w:fill="FFFFFF"/>
          </w:tcPr>
          <w:p>
            <w:pPr>
              <w:spacing w:before="40" w:after="40"/>
            </w:pPr>
            <w:r>
              <w:rPr>
                <w:b w:val="0"/>
                <w:i w:val="0"/>
                <w:color w:val="1E293B"/>
                <w:sz w:val="19"/>
              </w:rPr>
              <w:t>Revue</w:t>
            </w:r>
          </w:p>
        </w:tc>
        <w:tc>
          <w:tcPr>
            <w:tcW w:type="dxa" w:w="1984"/>
            <w:shd w:val="clear" w:color="auto" w:fill="FFFFFF"/>
          </w:tcPr>
          <w:p>
            <w:pPr>
              <w:spacing w:before="40" w:after="40"/>
            </w:pPr>
            <w:r>
              <w:rPr>
                <w:b w:val="0"/>
                <w:i w:val="0"/>
                <w:color w:val="1E293B"/>
                <w:sz w:val="19"/>
              </w:rPr>
              <w:t>—</w:t>
            </w:r>
          </w:p>
        </w:tc>
      </w:tr>
      <w:tr>
        <w:tc>
          <w:tcPr>
            <w:tcW w:type="dxa" w:w="1984"/>
            <w:shd w:val="clear" w:color="auto" w:fill="F8FAFC"/>
          </w:tcPr>
          <w:p>
            <w:pPr>
              <w:spacing w:before="40" w:after="40"/>
            </w:pPr>
            <w:r>
              <w:rPr>
                <w:b w:val="0"/>
                <w:i w:val="0"/>
                <w:color w:val="1E293B"/>
                <w:sz w:val="19"/>
              </w:rPr>
              <w:t>6 — Exceptions</w:t>
            </w:r>
          </w:p>
        </w:tc>
        <w:tc>
          <w:tcPr>
            <w:tcW w:type="dxa" w:w="2551"/>
            <w:shd w:val="clear" w:color="auto" w:fill="F8FAFC"/>
          </w:tcPr>
          <w:p>
            <w:pPr>
              <w:spacing w:before="40" w:after="40"/>
            </w:pPr>
            <w:r>
              <w:rPr>
                <w:b w:val="0"/>
                <w:i w:val="0"/>
                <w:color w:val="1E293B"/>
                <w:sz w:val="19"/>
              </w:rPr>
              <w:t>Qualification mineure</w:t>
            </w:r>
          </w:p>
        </w:tc>
        <w:tc>
          <w:tcPr>
            <w:tcW w:type="dxa" w:w="2551"/>
            <w:shd w:val="clear" w:color="auto" w:fill="F8FAFC"/>
          </w:tcPr>
          <w:p>
            <w:pPr>
              <w:spacing w:before="40" w:after="40"/>
            </w:pPr>
            <w:r>
              <w:rPr>
                <w:b w:val="0"/>
                <w:i w:val="0"/>
                <w:color w:val="1E293B"/>
                <w:sz w:val="19"/>
              </w:rPr>
              <w:t>Qualification significative</w:t>
            </w:r>
          </w:p>
        </w:tc>
        <w:tc>
          <w:tcPr>
            <w:tcW w:type="dxa" w:w="1984"/>
            <w:shd w:val="clear" w:color="auto" w:fill="F8FAFC"/>
          </w:tcPr>
          <w:p>
            <w:pPr>
              <w:spacing w:before="40" w:after="40"/>
            </w:pPr>
            <w:r>
              <w:rPr>
                <w:b w:val="0"/>
                <w:i w:val="0"/>
                <w:color w:val="1E293B"/>
                <w:sz w:val="19"/>
              </w:rPr>
              <w:t>Critique et synthèse</w:t>
            </w:r>
          </w:p>
        </w:tc>
      </w:tr>
      <w:tr>
        <w:tc>
          <w:tcPr>
            <w:tcW w:type="dxa" w:w="1984"/>
            <w:shd w:val="clear" w:color="auto" w:fill="FFFFFF"/>
          </w:tcPr>
          <w:p>
            <w:pPr>
              <w:spacing w:before="40" w:after="40"/>
            </w:pPr>
            <w:r>
              <w:rPr>
                <w:b w:val="0"/>
                <w:i w:val="0"/>
                <w:color w:val="1E293B"/>
                <w:sz w:val="19"/>
              </w:rPr>
              <w:t>7 — Génération</w:t>
            </w:r>
          </w:p>
        </w:tc>
        <w:tc>
          <w:tcPr>
            <w:tcW w:type="dxa" w:w="2551"/>
            <w:shd w:val="clear" w:color="auto" w:fill="FFFFFF"/>
          </w:tcPr>
          <w:p>
            <w:pPr>
              <w:spacing w:before="40" w:after="40"/>
            </w:pPr>
            <w:r>
              <w:rPr>
                <w:b w:val="0"/>
                <w:i w:val="0"/>
                <w:color w:val="1E293B"/>
                <w:sz w:val="19"/>
              </w:rPr>
              <w:t>Révision commentaires</w:t>
            </w:r>
          </w:p>
        </w:tc>
        <w:tc>
          <w:tcPr>
            <w:tcW w:type="dxa" w:w="2551"/>
            <w:shd w:val="clear" w:color="auto" w:fill="FFFFFF"/>
          </w:tcPr>
          <w:p>
            <w:pPr>
              <w:spacing w:before="40" w:after="40"/>
            </w:pPr>
            <w:r>
              <w:rPr>
                <w:b w:val="0"/>
                <w:i w:val="0"/>
                <w:color w:val="1E293B"/>
                <w:sz w:val="19"/>
              </w:rPr>
              <w:t>Validation dossier</w:t>
            </w:r>
          </w:p>
        </w:tc>
        <w:tc>
          <w:tcPr>
            <w:tcW w:type="dxa" w:w="1984"/>
            <w:shd w:val="clear" w:color="auto" w:fill="FFFFFF"/>
          </w:tcPr>
          <w:p>
            <w:pPr>
              <w:spacing w:before="40" w:after="40"/>
            </w:pPr>
            <w:r>
              <w:rPr>
                <w:b w:val="0"/>
                <w:i w:val="0"/>
                <w:color w:val="1E293B"/>
                <w:sz w:val="19"/>
              </w:rPr>
              <w:t>Revue finale</w:t>
            </w:r>
          </w:p>
        </w:tc>
      </w:tr>
      <w:tr>
        <w:tc>
          <w:tcPr>
            <w:tcW w:type="dxa" w:w="1984"/>
            <w:shd w:val="clear" w:color="auto" w:fill="F8FAFC"/>
          </w:tcPr>
          <w:p>
            <w:pPr>
              <w:spacing w:before="40" w:after="40"/>
            </w:pPr>
            <w:r>
              <w:rPr>
                <w:b w:val="0"/>
                <w:i w:val="0"/>
                <w:color w:val="1E293B"/>
                <w:sz w:val="19"/>
              </w:rPr>
              <w:t>8 — Opinion</w:t>
            </w:r>
          </w:p>
        </w:tc>
        <w:tc>
          <w:tcPr>
            <w:tcW w:type="dxa" w:w="2551"/>
            <w:shd w:val="clear" w:color="auto" w:fill="F8FAFC"/>
          </w:tcPr>
          <w:p>
            <w:pPr>
              <w:spacing w:before="40" w:after="40"/>
            </w:pPr>
            <w:r>
              <w:rPr>
                <w:b w:val="0"/>
                <w:i w:val="0"/>
                <w:color w:val="1E293B"/>
                <w:sz w:val="19"/>
              </w:rPr>
              <w:t>—</w:t>
            </w:r>
          </w:p>
        </w:tc>
        <w:tc>
          <w:tcPr>
            <w:tcW w:type="dxa" w:w="2551"/>
            <w:shd w:val="clear" w:color="auto" w:fill="F8FAFC"/>
          </w:tcPr>
          <w:p>
            <w:pPr>
              <w:spacing w:before="40" w:after="40"/>
            </w:pPr>
            <w:r>
              <w:rPr>
                <w:b w:val="0"/>
                <w:i w:val="0"/>
                <w:color w:val="1E293B"/>
                <w:sz w:val="19"/>
              </w:rPr>
              <w:t>—</w:t>
            </w:r>
          </w:p>
        </w:tc>
        <w:tc>
          <w:tcPr>
            <w:tcW w:type="dxa" w:w="1984"/>
            <w:shd w:val="clear" w:color="auto" w:fill="F8FAFC"/>
          </w:tcPr>
          <w:p>
            <w:pPr>
              <w:spacing w:before="40" w:after="40"/>
            </w:pPr>
            <w:r>
              <w:rPr>
                <w:b w:val="0"/>
                <w:i w:val="0"/>
                <w:color w:val="1E293B"/>
                <w:sz w:val="19"/>
              </w:rPr>
              <w:t>Signature</w:t>
            </w:r>
          </w:p>
        </w:tc>
      </w:tr>
    </w:tbl>
    <w:p>
      <w:pPr>
        <w:spacing w:after="80"/>
      </w:pPr>
    </w:p>
    <w:p>
      <w:r>
        <w:br w:type="page"/>
      </w:r>
    </w:p>
    <w:p>
      <w:pPr>
        <w:spacing w:before="0" w:after="40"/>
      </w:pPr>
      <w:r>
        <w:rPr>
          <w:b/>
          <w:i w:val="0"/>
          <w:color w:val="2563EB"/>
          <w:sz w:val="16"/>
        </w:rPr>
        <w:t>CHAPITRE 7</w:t>
      </w:r>
    </w:p>
    <w:p>
      <w:pPr>
        <w:spacing w:before="80" w:after="40"/>
        <w:keepLines/>
        <w:keepNext/>
      </w:pPr>
      <w:r>
        <w:rPr>
          <w:b/>
          <w:i w:val="0"/>
          <w:color w:val="0F1724"/>
          <w:sz w:val="44"/>
        </w:rPr>
        <w:t>Conformité normative et traçabilité</w:t>
      </w:r>
    </w:p>
    <w:p>
      <w:pPr>
        <w:spacing w:before="0" w:after="160"/>
      </w:pPr>
      <w:r>
        <w:rPr>
          <w:b w:val="0"/>
          <w:i w:val="0"/>
          <w:color w:val="64748B"/>
          <w:sz w:val="22"/>
        </w:rPr>
        <w:t>Ancrage de Probare dans les Normes d'Exercice Professionnel et mécanismes garantissant l'intégrité du dossier.</w:t>
      </w:r>
    </w:p>
    <w:p>
      <w:pPr>
        <w:spacing w:before="40" w:after="160"/>
        <w:pBdr>
          <w:bottom w:val="single" w:sz="4" w:space="1" w:color="E2E8F0"/>
        </w:pBdr>
      </w:pPr>
    </w:p>
    <w:p>
      <w:pPr>
        <w:spacing w:before="200" w:after="80"/>
        <w:keepLines/>
        <w:keepNext/>
        <w:pBdr>
          <w:bottom w:val="single" w:sz="6" w:space="4" w:color="2563eb"/>
        </w:pBdr>
      </w:pPr>
      <w:r>
        <w:rPr>
          <w:b/>
          <w:i w:val="0"/>
          <w:color w:val="0F1724"/>
          <w:sz w:val="24"/>
        </w:rPr>
        <w:t>Référentiel normatif</w:t>
      </w:r>
    </w:p>
    <w:tbl>
      <w:tblPr>
        <w:tblStyle w:val="TableGrid"/>
        <w:tblW w:type="auto" w:w="0"/>
        <w:jc w:val="left"/>
        <w:tblLook w:firstColumn="1" w:firstRow="1" w:lastColumn="0" w:lastRow="0" w:noHBand="0" w:noVBand="1" w:val="04A0"/>
      </w:tblPr>
      <w:tblGrid>
        <w:gridCol w:w="3135"/>
        <w:gridCol w:w="3135"/>
        <w:gridCol w:w="3135"/>
      </w:tblGrid>
      <w:tr>
        <w:tc>
          <w:tcPr>
            <w:tcW w:type="dxa" w:w="1134"/>
            <w:shd w:val="clear" w:color="auto" w:fill="0f1724"/>
          </w:tcPr>
          <w:p>
            <w:pPr>
              <w:spacing w:before="40" w:after="40"/>
            </w:pPr>
            <w:r>
              <w:rPr>
                <w:b/>
                <w:i w:val="0"/>
                <w:color w:val="FFFFFF"/>
                <w:sz w:val="18"/>
              </w:rPr>
              <w:t>Norme</w:t>
            </w:r>
          </w:p>
        </w:tc>
        <w:tc>
          <w:tcPr>
            <w:tcW w:type="dxa" w:w="2551"/>
            <w:shd w:val="clear" w:color="auto" w:fill="0f1724"/>
          </w:tcPr>
          <w:p>
            <w:pPr>
              <w:spacing w:before="40" w:after="40"/>
            </w:pPr>
            <w:r>
              <w:rPr>
                <w:b/>
                <w:i w:val="0"/>
                <w:color w:val="FFFFFF"/>
                <w:sz w:val="18"/>
              </w:rPr>
              <w:t>Objet</w:t>
            </w:r>
          </w:p>
        </w:tc>
        <w:tc>
          <w:tcPr>
            <w:tcW w:type="dxa" w:w="5386"/>
            <w:shd w:val="clear" w:color="auto" w:fill="0f1724"/>
          </w:tcPr>
          <w:p>
            <w:pPr>
              <w:spacing w:before="40" w:after="40"/>
            </w:pPr>
            <w:r>
              <w:rPr>
                <w:b/>
                <w:i w:val="0"/>
                <w:color w:val="FFFFFF"/>
                <w:sz w:val="18"/>
              </w:rPr>
              <w:t>Application dans Probare</w:t>
            </w:r>
          </w:p>
        </w:tc>
      </w:tr>
      <w:tr>
        <w:tc>
          <w:tcPr>
            <w:tcW w:type="dxa" w:w="1134"/>
            <w:shd w:val="clear" w:color="auto" w:fill="FFFFFF"/>
          </w:tcPr>
          <w:p>
            <w:pPr>
              <w:spacing w:before="40" w:after="40"/>
            </w:pPr>
            <w:r>
              <w:rPr>
                <w:b w:val="0"/>
                <w:i w:val="0"/>
                <w:color w:val="1E293B"/>
                <w:sz w:val="19"/>
              </w:rPr>
              <w:t>NEP 230</w:t>
            </w:r>
          </w:p>
        </w:tc>
        <w:tc>
          <w:tcPr>
            <w:tcW w:type="dxa" w:w="2551"/>
            <w:shd w:val="clear" w:color="auto" w:fill="FFFFFF"/>
          </w:tcPr>
          <w:p>
            <w:pPr>
              <w:spacing w:before="40" w:after="40"/>
            </w:pPr>
            <w:r>
              <w:rPr>
                <w:b w:val="0"/>
                <w:i w:val="0"/>
                <w:color w:val="1E293B"/>
                <w:sz w:val="19"/>
              </w:rPr>
              <w:t>Documentation des travaux d'audit</w:t>
            </w:r>
          </w:p>
        </w:tc>
        <w:tc>
          <w:tcPr>
            <w:tcW w:type="dxa" w:w="5386"/>
            <w:shd w:val="clear" w:color="auto" w:fill="FFFFFF"/>
          </w:tcPr>
          <w:p>
            <w:pPr>
              <w:spacing w:before="40" w:after="40"/>
            </w:pPr>
            <w:r>
              <w:rPr>
                <w:b w:val="0"/>
                <w:i w:val="0"/>
                <w:color w:val="1E293B"/>
                <w:sz w:val="19"/>
              </w:rPr>
              <w:t>Chaque contrôle produit une feuille de travail horodatée. Le journal de mission enregistre tous les événements. Le dossier est figé après signature de l'opinion.</w:t>
            </w:r>
          </w:p>
        </w:tc>
      </w:tr>
      <w:tr>
        <w:tc>
          <w:tcPr>
            <w:tcW w:type="dxa" w:w="1134"/>
            <w:shd w:val="clear" w:color="auto" w:fill="F8FAFC"/>
          </w:tcPr>
          <w:p>
            <w:pPr>
              <w:spacing w:before="40" w:after="40"/>
            </w:pPr>
            <w:r>
              <w:rPr>
                <w:b w:val="0"/>
                <w:i w:val="0"/>
                <w:color w:val="1E293B"/>
                <w:sz w:val="19"/>
              </w:rPr>
              <w:t>NEP 315</w:t>
            </w:r>
          </w:p>
        </w:tc>
        <w:tc>
          <w:tcPr>
            <w:tcW w:type="dxa" w:w="2551"/>
            <w:shd w:val="clear" w:color="auto" w:fill="F8FAFC"/>
          </w:tcPr>
          <w:p>
            <w:pPr>
              <w:spacing w:before="40" w:after="40"/>
            </w:pPr>
            <w:r>
              <w:rPr>
                <w:b w:val="0"/>
                <w:i w:val="0"/>
                <w:color w:val="1E293B"/>
                <w:sz w:val="19"/>
              </w:rPr>
              <w:t>Connaissance de l'entité et évaluation des risques</w:t>
            </w:r>
          </w:p>
        </w:tc>
        <w:tc>
          <w:tcPr>
            <w:tcW w:type="dxa" w:w="5386"/>
            <w:shd w:val="clear" w:color="auto" w:fill="F8FAFC"/>
          </w:tcPr>
          <w:p>
            <w:pPr>
              <w:spacing w:before="40" w:after="40"/>
            </w:pPr>
            <w:r>
              <w:rPr>
                <w:b w:val="0"/>
                <w:i w:val="0"/>
                <w:color w:val="1E293B"/>
                <w:sz w:val="19"/>
              </w:rPr>
              <w:t>Le cadrage et le QCI structurent l'évaluation du contrôle interne par cycle. Les résultats orientent l'étendue des travaux substantifs.</w:t>
            </w:r>
          </w:p>
        </w:tc>
      </w:tr>
      <w:tr>
        <w:tc>
          <w:tcPr>
            <w:tcW w:type="dxa" w:w="1134"/>
            <w:shd w:val="clear" w:color="auto" w:fill="FFFFFF"/>
          </w:tcPr>
          <w:p>
            <w:pPr>
              <w:spacing w:before="40" w:after="40"/>
            </w:pPr>
            <w:r>
              <w:rPr>
                <w:b w:val="0"/>
                <w:i w:val="0"/>
                <w:color w:val="1E293B"/>
                <w:sz w:val="19"/>
              </w:rPr>
              <w:t>NEP 320</w:t>
            </w:r>
          </w:p>
        </w:tc>
        <w:tc>
          <w:tcPr>
            <w:tcW w:type="dxa" w:w="2551"/>
            <w:shd w:val="clear" w:color="auto" w:fill="FFFFFF"/>
          </w:tcPr>
          <w:p>
            <w:pPr>
              <w:spacing w:before="40" w:after="40"/>
            </w:pPr>
            <w:r>
              <w:rPr>
                <w:b w:val="0"/>
                <w:i w:val="0"/>
                <w:color w:val="1E293B"/>
                <w:sz w:val="19"/>
              </w:rPr>
              <w:t>Caractère significatif en audit</w:t>
            </w:r>
          </w:p>
        </w:tc>
        <w:tc>
          <w:tcPr>
            <w:tcW w:type="dxa" w:w="5386"/>
            <w:shd w:val="clear" w:color="auto" w:fill="FFFFFF"/>
          </w:tcPr>
          <w:p>
            <w:pPr>
              <w:spacing w:before="40" w:after="40"/>
            </w:pPr>
            <w:r>
              <w:rPr>
                <w:b w:val="0"/>
                <w:i w:val="0"/>
                <w:color w:val="1E293B"/>
                <w:sz w:val="19"/>
              </w:rPr>
              <w:t>Le seuil de signification est calculé automatiquement et appliqué mécaniquement à la qualification des exceptions.</w:t>
            </w:r>
          </w:p>
        </w:tc>
      </w:tr>
      <w:tr>
        <w:tc>
          <w:tcPr>
            <w:tcW w:type="dxa" w:w="1134"/>
            <w:shd w:val="clear" w:color="auto" w:fill="F8FAFC"/>
          </w:tcPr>
          <w:p>
            <w:pPr>
              <w:spacing w:before="40" w:after="40"/>
            </w:pPr>
            <w:r>
              <w:rPr>
                <w:b w:val="0"/>
                <w:i w:val="0"/>
                <w:color w:val="1E293B"/>
                <w:sz w:val="19"/>
              </w:rPr>
              <w:t>NEP 330</w:t>
            </w:r>
          </w:p>
        </w:tc>
        <w:tc>
          <w:tcPr>
            <w:tcW w:type="dxa" w:w="2551"/>
            <w:shd w:val="clear" w:color="auto" w:fill="F8FAFC"/>
          </w:tcPr>
          <w:p>
            <w:pPr>
              <w:spacing w:before="40" w:after="40"/>
            </w:pPr>
            <w:r>
              <w:rPr>
                <w:b w:val="0"/>
                <w:i w:val="0"/>
                <w:color w:val="1E293B"/>
                <w:sz w:val="19"/>
              </w:rPr>
              <w:t>Procédures d'audit mises en œuvre</w:t>
            </w:r>
          </w:p>
        </w:tc>
        <w:tc>
          <w:tcPr>
            <w:tcW w:type="dxa" w:w="5386"/>
            <w:shd w:val="clear" w:color="auto" w:fill="F8FAFC"/>
          </w:tcPr>
          <w:p>
            <w:pPr>
              <w:spacing w:before="40" w:after="40"/>
            </w:pPr>
            <w:r>
              <w:rPr>
                <w:b w:val="0"/>
                <w:i w:val="0"/>
                <w:color w:val="1E293B"/>
                <w:sz w:val="19"/>
              </w:rPr>
              <w:t>Les 52 contrôles constituent les procédures de fond. Leur sélection, exécution et résultats sont documentés par cycle dans le dossier généré.</w:t>
            </w:r>
          </w:p>
        </w:tc>
      </w:tr>
      <w:tr>
        <w:tc>
          <w:tcPr>
            <w:tcW w:type="dxa" w:w="1134"/>
            <w:shd w:val="clear" w:color="auto" w:fill="FFFFFF"/>
          </w:tcPr>
          <w:p>
            <w:pPr>
              <w:spacing w:before="40" w:after="40"/>
            </w:pPr>
            <w:r>
              <w:rPr>
                <w:b w:val="0"/>
                <w:i w:val="0"/>
                <w:color w:val="1E293B"/>
                <w:sz w:val="19"/>
              </w:rPr>
              <w:t>NEP 500</w:t>
            </w:r>
          </w:p>
        </w:tc>
        <w:tc>
          <w:tcPr>
            <w:tcW w:type="dxa" w:w="2551"/>
            <w:shd w:val="clear" w:color="auto" w:fill="FFFFFF"/>
          </w:tcPr>
          <w:p>
            <w:pPr>
              <w:spacing w:before="40" w:after="40"/>
            </w:pPr>
            <w:r>
              <w:rPr>
                <w:b w:val="0"/>
                <w:i w:val="0"/>
                <w:color w:val="1E293B"/>
                <w:sz w:val="19"/>
              </w:rPr>
              <w:t>Caractère probant des éléments collectés</w:t>
            </w:r>
          </w:p>
        </w:tc>
        <w:tc>
          <w:tcPr>
            <w:tcW w:type="dxa" w:w="5386"/>
            <w:shd w:val="clear" w:color="auto" w:fill="FFFFFF"/>
          </w:tcPr>
          <w:p>
            <w:pPr>
              <w:spacing w:before="40" w:after="40"/>
            </w:pPr>
            <w:r>
              <w:rPr>
                <w:b w:val="0"/>
                <w:i w:val="0"/>
                <w:color w:val="1E293B"/>
                <w:sz w:val="19"/>
              </w:rPr>
              <w:t>La provenance totale garantit que chaque chiffre dans le dossier peut être relié à son élément probant source — fichier, ligne, colonne.</w:t>
            </w:r>
          </w:p>
        </w:tc>
      </w:tr>
      <w:tr>
        <w:tc>
          <w:tcPr>
            <w:tcW w:type="dxa" w:w="1134"/>
            <w:shd w:val="clear" w:color="auto" w:fill="F8FAFC"/>
          </w:tcPr>
          <w:p>
            <w:pPr>
              <w:spacing w:before="40" w:after="40"/>
            </w:pPr>
            <w:r>
              <w:rPr>
                <w:b w:val="0"/>
                <w:i w:val="0"/>
                <w:color w:val="1E293B"/>
                <w:sz w:val="19"/>
              </w:rPr>
              <w:t>NEP 520</w:t>
            </w:r>
          </w:p>
        </w:tc>
        <w:tc>
          <w:tcPr>
            <w:tcW w:type="dxa" w:w="2551"/>
            <w:shd w:val="clear" w:color="auto" w:fill="F8FAFC"/>
          </w:tcPr>
          <w:p>
            <w:pPr>
              <w:spacing w:before="40" w:after="40"/>
            </w:pPr>
            <w:r>
              <w:rPr>
                <w:b w:val="0"/>
                <w:i w:val="0"/>
                <w:color w:val="1E293B"/>
                <w:sz w:val="19"/>
              </w:rPr>
              <w:t>Procédures analytiques</w:t>
            </w:r>
          </w:p>
        </w:tc>
        <w:tc>
          <w:tcPr>
            <w:tcW w:type="dxa" w:w="5386"/>
            <w:shd w:val="clear" w:color="auto" w:fill="F8FAFC"/>
          </w:tcPr>
          <w:p>
            <w:pPr>
              <w:spacing w:before="40" w:after="40"/>
            </w:pPr>
            <w:r>
              <w:rPr>
                <w:b w:val="0"/>
                <w:i w:val="0"/>
                <w:color w:val="1E293B"/>
                <w:sz w:val="19"/>
              </w:rPr>
              <w:t>Les contrôles de type variation N/N-1, ratio et analyse de concentration implémentent les procédures analytiques prévues par la NEP 520.</w:t>
            </w:r>
          </w:p>
        </w:tc>
      </w:tr>
      <w:tr>
        <w:tc>
          <w:tcPr>
            <w:tcW w:type="dxa" w:w="1134"/>
            <w:shd w:val="clear" w:color="auto" w:fill="FFFFFF"/>
          </w:tcPr>
          <w:p>
            <w:pPr>
              <w:spacing w:before="40" w:after="40"/>
            </w:pPr>
            <w:r>
              <w:rPr>
                <w:b w:val="0"/>
                <w:i w:val="0"/>
                <w:color w:val="1E293B"/>
                <w:sz w:val="19"/>
              </w:rPr>
              <w:t>NEP 540</w:t>
            </w:r>
          </w:p>
        </w:tc>
        <w:tc>
          <w:tcPr>
            <w:tcW w:type="dxa" w:w="2551"/>
            <w:shd w:val="clear" w:color="auto" w:fill="FFFFFF"/>
          </w:tcPr>
          <w:p>
            <w:pPr>
              <w:spacing w:before="40" w:after="40"/>
            </w:pPr>
            <w:r>
              <w:rPr>
                <w:b w:val="0"/>
                <w:i w:val="0"/>
                <w:color w:val="1E293B"/>
                <w:sz w:val="19"/>
              </w:rPr>
              <w:t>Estimations comptables</w:t>
            </w:r>
          </w:p>
        </w:tc>
        <w:tc>
          <w:tcPr>
            <w:tcW w:type="dxa" w:w="5386"/>
            <w:shd w:val="clear" w:color="auto" w:fill="FFFFFF"/>
          </w:tcPr>
          <w:p>
            <w:pPr>
              <w:spacing w:before="40" w:after="40"/>
            </w:pPr>
            <w:r>
              <w:rPr>
                <w:b w:val="0"/>
                <w:i w:val="0"/>
                <w:color w:val="1E293B"/>
                <w:sz w:val="19"/>
              </w:rPr>
              <w:t>Les contrôles dédiés aux provisions, cut-offs et valorisations répondent aux exigences de vérification des estimations comptables.</w:t>
            </w:r>
          </w:p>
        </w:tc>
      </w:tr>
    </w:tbl>
    <w:p>
      <w:pPr>
        <w:spacing w:after="80"/>
      </w:pPr>
    </w:p>
    <w:p>
      <w:pPr>
        <w:spacing w:before="200" w:after="80"/>
        <w:keepLines/>
        <w:keepNext/>
        <w:pBdr>
          <w:bottom w:val="single" w:sz="6" w:space="4" w:color="2563eb"/>
        </w:pBdr>
      </w:pPr>
      <w:r>
        <w:rPr>
          <w:b/>
          <w:i w:val="0"/>
          <w:color w:val="0F1724"/>
          <w:sz w:val="24"/>
        </w:rPr>
        <w:t>Mécanismes de contrôle d'intégrité</w:t>
      </w:r>
    </w:p>
    <w:p>
      <w:pPr>
        <w:spacing w:after="120" w:before="0"/>
      </w:pPr>
      <w:r>
        <w:rPr>
          <w:b w:val="0"/>
          <w:i w:val="0"/>
          <w:color w:val="1E293B"/>
          <w:sz w:val="21"/>
        </w:rPr>
        <w:t>Probare implémente plusieurs blocages techniques garantissant que le dossier produit est complet et cohérent :</w:t>
      </w:r>
    </w:p>
    <w:p>
      <w:pPr>
        <w:pStyle w:val="ListBullet"/>
        <w:spacing w:after="40" w:before="0"/>
        <w:ind w:left="454"/>
      </w:pPr>
      <w:r>
        <w:rPr>
          <w:b w:val="0"/>
          <w:i w:val="0"/>
          <w:color w:val="475569"/>
          <w:sz w:val="21"/>
        </w:rPr>
        <w:t>L'accès à chaque phase est conditionné à la complétion de la phase précédente</w:t>
      </w:r>
    </w:p>
    <w:p>
      <w:pPr>
        <w:pStyle w:val="ListBullet"/>
        <w:spacing w:after="40" w:before="0"/>
        <w:ind w:left="454"/>
      </w:pPr>
      <w:r>
        <w:rPr>
          <w:b w:val="0"/>
          <w:i w:val="0"/>
          <w:color w:val="475569"/>
          <w:sz w:val="21"/>
        </w:rPr>
        <w:t>L'exécution des contrôles requiert que les données de la période aient été importées</w:t>
      </w:r>
    </w:p>
    <w:p>
      <w:pPr>
        <w:pStyle w:val="ListBullet"/>
        <w:spacing w:after="40" w:before="0"/>
        <w:ind w:left="454"/>
      </w:pPr>
      <w:r>
        <w:rPr>
          <w:b w:val="0"/>
          <w:i w:val="0"/>
          <w:color w:val="475569"/>
          <w:sz w:val="21"/>
        </w:rPr>
        <w:t>La génération du dossier est bloquée tant qu'au moins une exception reste non qualifiée</w:t>
      </w:r>
    </w:p>
    <w:p>
      <w:pPr>
        <w:pStyle w:val="ListBullet"/>
        <w:spacing w:after="40" w:before="0"/>
        <w:ind w:left="454"/>
      </w:pPr>
      <w:r>
        <w:rPr>
          <w:b w:val="0"/>
          <w:i w:val="0"/>
          <w:color w:val="475569"/>
          <w:sz w:val="21"/>
        </w:rPr>
        <w:t>Les données source ne peuvent plus être modifiées après l'exécution des contrôles</w:t>
      </w:r>
    </w:p>
    <w:p>
      <w:pPr>
        <w:pStyle w:val="ListBullet"/>
        <w:spacing w:after="40" w:before="0"/>
        <w:ind w:left="454"/>
      </w:pPr>
      <w:r>
        <w:rPr>
          <w:b w:val="0"/>
          <w:i w:val="0"/>
          <w:color w:val="475569"/>
          <w:sz w:val="21"/>
        </w:rPr>
        <w:t>Le retour en arrière dans le pipeline est techniquement impossible une fois une phase validée</w:t>
      </w:r>
    </w:p>
    <w:p>
      <w:pPr>
        <w:pStyle w:val="ListBullet"/>
        <w:spacing w:after="40" w:before="0"/>
        <w:ind w:left="454"/>
      </w:pPr>
      <w:r>
        <w:rPr>
          <w:b w:val="0"/>
          <w:i w:val="0"/>
          <w:color w:val="475569"/>
          <w:sz w:val="21"/>
        </w:rPr>
        <w:t>Tout chiffre figurant dans le dossier doit être rattaché à un enregistrement source tracé</w:t>
      </w:r>
    </w:p>
    <w:p>
      <w:pPr>
        <w:spacing w:before="200" w:after="80"/>
        <w:keepLines/>
        <w:keepNext/>
        <w:pBdr>
          <w:bottom w:val="single" w:sz="6" w:space="4" w:color="2563eb"/>
        </w:pBdr>
      </w:pPr>
      <w:r>
        <w:rPr>
          <w:b/>
          <w:i w:val="0"/>
          <w:color w:val="0F1724"/>
          <w:sz w:val="24"/>
        </w:rPr>
        <w:t>Dossiers permanents et journal de mission</w:t>
      </w:r>
    </w:p>
    <w:p>
      <w:pPr>
        <w:spacing w:after="120" w:before="0"/>
      </w:pPr>
      <w:r>
        <w:rPr>
          <w:b w:val="0"/>
          <w:i w:val="0"/>
          <w:color w:val="1E293B"/>
          <w:sz w:val="21"/>
        </w:rPr>
        <w:t>Probare maintient un dossier permanent par client conservant les informations juridiques, l'historique des seuils de signification par exercice, les documents récurrents et les missions antérieures. Ces informations sont réutilisables pour les missions suivantes sans ressaisie.</w:t>
      </w:r>
    </w:p>
    <w:p>
      <w:pPr>
        <w:spacing w:after="120" w:before="0"/>
      </w:pPr>
      <w:r>
        <w:rPr>
          <w:b w:val="0"/>
          <w:i w:val="0"/>
          <w:color w:val="1E293B"/>
          <w:sz w:val="21"/>
        </w:rPr>
        <w:t>Un journal chronologique enregistre l'ensemble des événements de la mission : dates et heures des imports, exécutions de contrôles, qualifications d'exceptions, modifications de commentaires, validations de phases. Ce journal est intégré au dossier final.</w:t>
      </w:r>
    </w:p>
    <w:p>
      <w:r>
        <w:br w:type="page"/>
      </w:r>
    </w:p>
    <w:p>
      <w:pPr>
        <w:spacing w:before="0" w:after="40"/>
      </w:pPr>
      <w:r>
        <w:rPr>
          <w:b/>
          <w:i w:val="0"/>
          <w:color w:val="2563EB"/>
          <w:sz w:val="16"/>
        </w:rPr>
        <w:t>CHAPITRE 8</w:t>
      </w:r>
    </w:p>
    <w:p>
      <w:pPr>
        <w:spacing w:before="80" w:after="40"/>
        <w:keepLines/>
        <w:keepNext/>
      </w:pPr>
      <w:r>
        <w:rPr>
          <w:b/>
          <w:i w:val="0"/>
          <w:color w:val="0F1724"/>
          <w:sz w:val="44"/>
        </w:rPr>
        <w:t>Conditions de mise en œuvre</w:t>
      </w:r>
    </w:p>
    <w:p>
      <w:pPr>
        <w:spacing w:before="0" w:after="160"/>
      </w:pPr>
      <w:r>
        <w:rPr>
          <w:b w:val="0"/>
          <w:i w:val="0"/>
          <w:color w:val="64748B"/>
          <w:sz w:val="22"/>
        </w:rPr>
        <w:t>Prérequis, périmètre d'application et questions pratiques courantes.</w:t>
      </w:r>
    </w:p>
    <w:p>
      <w:pPr>
        <w:spacing w:before="40" w:after="160"/>
        <w:pBdr>
          <w:bottom w:val="single" w:sz="4" w:space="1" w:color="E2E8F0"/>
        </w:pBdr>
      </w:pPr>
    </w:p>
    <w:p>
      <w:pPr>
        <w:spacing w:before="200" w:after="80"/>
        <w:keepLines/>
        <w:keepNext/>
        <w:pBdr>
          <w:bottom w:val="single" w:sz="6" w:space="4" w:color="2563eb"/>
        </w:pBdr>
      </w:pPr>
      <w:r>
        <w:rPr>
          <w:b/>
          <w:i w:val="0"/>
          <w:color w:val="0F1724"/>
          <w:sz w:val="24"/>
        </w:rPr>
        <w:t>Environnement et données requises</w:t>
      </w:r>
    </w:p>
    <w:p>
      <w:pPr>
        <w:spacing w:after="120" w:before="0"/>
      </w:pPr>
      <w:r>
        <w:rPr>
          <w:b/>
          <w:i w:val="0"/>
          <w:color w:val="1E293B"/>
          <w:sz w:val="21"/>
        </w:rPr>
        <w:t>Environnement de travail</w:t>
      </w:r>
    </w:p>
    <w:p>
      <w:pPr>
        <w:spacing w:after="120" w:before="0"/>
      </w:pPr>
      <w:r>
        <w:rPr>
          <w:b w:val="0"/>
          <w:i w:val="0"/>
          <w:color w:val="1E293B"/>
          <w:sz w:val="21"/>
        </w:rPr>
        <w:t>Probare fonctionne sur Windows, macOS et Linux. L'ensemble des données est conservé localement sur le poste de l'auditeur — aucune synchronisation vers un serveur tiers n'est effectuée. Une connexion internet est requise uniquement pour les fonctions d'assistance par IA.</w:t>
      </w:r>
    </w:p>
    <w:p>
      <w:pPr>
        <w:spacing w:after="120" w:before="0"/>
      </w:pPr>
      <w:r>
        <w:rPr>
          <w:b/>
          <w:i w:val="0"/>
          <w:color w:val="1E293B"/>
          <w:sz w:val="21"/>
        </w:rPr>
        <w:t>Formats acceptés</w:t>
      </w:r>
    </w:p>
    <w:p>
      <w:pPr>
        <w:spacing w:after="120" w:before="0"/>
      </w:pPr>
      <w:r>
        <w:rPr>
          <w:b w:val="0"/>
          <w:i w:val="0"/>
          <w:color w:val="1E293B"/>
          <w:sz w:val="21"/>
        </w:rPr>
        <w:t>Les fichiers comptables sont importés aux formats Excel (.xlsx, .xls) ou CSV, produits nativement par la quasi-totalité des logiciels comptables du marché.</w:t>
      </w:r>
    </w:p>
    <w:p>
      <w:pPr>
        <w:spacing w:after="120" w:before="0"/>
      </w:pPr>
      <w:r>
        <w:rPr>
          <w:b/>
          <w:i w:val="0"/>
          <w:color w:val="1E293B"/>
          <w:sz w:val="21"/>
        </w:rPr>
        <w:t>Données minimales par mission</w:t>
      </w:r>
    </w:p>
    <w:p>
      <w:pPr>
        <w:pStyle w:val="ListBullet"/>
        <w:spacing w:after="40" w:before="0"/>
        <w:ind w:left="454"/>
      </w:pPr>
      <w:r>
        <w:rPr>
          <w:b w:val="0"/>
          <w:i w:val="0"/>
          <w:color w:val="475569"/>
          <w:sz w:val="21"/>
        </w:rPr>
        <w:t>Balance générale de l'exercice N</w:t>
      </w:r>
    </w:p>
    <w:p>
      <w:pPr>
        <w:pStyle w:val="ListBullet"/>
        <w:spacing w:after="40" w:before="0"/>
        <w:ind w:left="454"/>
      </w:pPr>
      <w:r>
        <w:rPr>
          <w:b w:val="0"/>
          <w:i w:val="0"/>
          <w:color w:val="475569"/>
          <w:sz w:val="21"/>
        </w:rPr>
        <w:t>Balance générale de l'exercice N-1</w:t>
      </w:r>
    </w:p>
    <w:p>
      <w:pPr>
        <w:pStyle w:val="ListBullet"/>
        <w:spacing w:after="40" w:before="0"/>
        <w:ind w:left="454"/>
      </w:pPr>
      <w:r>
        <w:rPr>
          <w:b w:val="0"/>
          <w:i w:val="0"/>
          <w:color w:val="475569"/>
          <w:sz w:val="21"/>
        </w:rPr>
        <w:t>Grand livre de l'exercice N</w:t>
      </w:r>
    </w:p>
    <w:p>
      <w:pPr>
        <w:spacing w:after="120" w:before="0"/>
      </w:pPr>
      <w:r>
        <w:rPr>
          <w:b/>
          <w:i w:val="0"/>
          <w:color w:val="1E293B"/>
          <w:sz w:val="21"/>
        </w:rPr>
        <w:t>Données complémentaires (optionnelles)</w:t>
      </w:r>
    </w:p>
    <w:p>
      <w:pPr>
        <w:pStyle w:val="ListBullet"/>
        <w:spacing w:after="40" w:before="0"/>
        <w:ind w:left="454"/>
      </w:pPr>
      <w:r>
        <w:rPr>
          <w:b w:val="0"/>
          <w:i w:val="0"/>
          <w:color w:val="475569"/>
          <w:sz w:val="21"/>
        </w:rPr>
        <w:t>Sous-détails analytiques par cycle</w:t>
      </w:r>
    </w:p>
    <w:p>
      <w:pPr>
        <w:pStyle w:val="ListBullet"/>
        <w:spacing w:after="40" w:before="0"/>
        <w:ind w:left="454"/>
      </w:pPr>
      <w:r>
        <w:rPr>
          <w:b w:val="0"/>
          <w:i w:val="0"/>
          <w:color w:val="475569"/>
          <w:sz w:val="21"/>
        </w:rPr>
        <w:t>Inventaire physique des stocks</w:t>
      </w:r>
    </w:p>
    <w:p>
      <w:pPr>
        <w:pStyle w:val="ListBullet"/>
        <w:spacing w:after="40" w:before="0"/>
        <w:ind w:left="454"/>
      </w:pPr>
      <w:r>
        <w:rPr>
          <w:b w:val="0"/>
          <w:i w:val="0"/>
          <w:color w:val="475569"/>
          <w:sz w:val="21"/>
        </w:rPr>
        <w:t>Tableau des immobilisations</w:t>
      </w:r>
    </w:p>
    <w:p>
      <w:pPr>
        <w:pStyle w:val="ListBullet"/>
        <w:spacing w:after="40" w:before="0"/>
        <w:ind w:left="454"/>
      </w:pPr>
      <w:r>
        <w:rPr>
          <w:b w:val="0"/>
          <w:i w:val="0"/>
          <w:color w:val="475569"/>
          <w:sz w:val="21"/>
        </w:rPr>
        <w:t>Déclarations fiscales de l'exercice</w:t>
      </w:r>
    </w:p>
    <w:p>
      <w:pPr>
        <w:spacing w:before="200" w:after="80"/>
        <w:keepLines/>
        <w:keepNext/>
        <w:pBdr>
          <w:bottom w:val="single" w:sz="6" w:space="4" w:color="2563eb"/>
        </w:pBdr>
      </w:pPr>
      <w:r>
        <w:rPr>
          <w:b/>
          <w:i w:val="0"/>
          <w:color w:val="0F1724"/>
          <w:sz w:val="24"/>
        </w:rPr>
        <w:t>Périmètre sectoriel</w:t>
      </w:r>
    </w:p>
    <w:p>
      <w:pPr>
        <w:spacing w:after="120" w:before="0"/>
      </w:pPr>
      <w:r>
        <w:rPr>
          <w:b w:val="0"/>
          <w:i w:val="0"/>
          <w:color w:val="1E293B"/>
          <w:sz w:val="21"/>
        </w:rPr>
        <w:t>Les 52 contrôles sont conçus pour les entités appliquant le plan comptable général (OHADA ou national). Ils s'appliquent sans adaptation aux entités de négoce, de services et industrielles. Les entités financières (banques, assurances, microfinance), les entités publiques et les associations à comptabilité spécifique nécessitent une adaptation du catalogue de contrôles.</w:t>
      </w:r>
    </w:p>
    <w:p>
      <w:pPr>
        <w:spacing w:before="200" w:after="80"/>
        <w:keepLines/>
        <w:keepNext/>
        <w:pBdr>
          <w:bottom w:val="single" w:sz="6" w:space="4" w:color="2563eb"/>
        </w:pBdr>
      </w:pPr>
      <w:r>
        <w:rPr>
          <w:b/>
          <w:i w:val="0"/>
          <w:color w:val="0F1724"/>
          <w:sz w:val="24"/>
        </w:rPr>
        <w:t>Questions pratiques courantes</w:t>
      </w:r>
    </w:p>
    <w:p>
      <w:pPr>
        <w:spacing w:before="120" w:after="40"/>
        <w:keepLines/>
        <w:keepNext/>
      </w:pPr>
      <w:r>
        <w:rPr>
          <w:b/>
          <w:i w:val="0"/>
          <w:color w:val="0F1724"/>
          <w:sz w:val="21"/>
        </w:rPr>
        <w:t>Probare se substitue-t-il aux papiers de travail existants ?</w:t>
      </w:r>
    </w:p>
    <w:p>
      <w:pPr>
        <w:spacing w:after="80" w:before="0"/>
      </w:pPr>
      <w:r>
        <w:rPr>
          <w:b w:val="0"/>
          <w:i w:val="0"/>
          <w:color w:val="1E293B"/>
          <w:sz w:val="21"/>
        </w:rPr>
        <w:t>Probare prend en charge la totalité des procédures analytiques et génère les feuilles de travail correspondantes. Il complète les papiers de travail relatifs aux procédures non analytiques — confirmations externes, observations physiques, entretiens — qui demeurent à la charge de l'équipe d'audit.</w:t>
      </w:r>
    </w:p>
    <w:p>
      <w:pPr>
        <w:spacing w:before="120" w:after="40"/>
        <w:keepLines/>
        <w:keepNext/>
      </w:pPr>
      <w:r>
        <w:rPr>
          <w:b/>
          <w:i w:val="0"/>
          <w:color w:val="0F1724"/>
          <w:sz w:val="21"/>
        </w:rPr>
        <w:t>Le dossier généré est-il transmissible directement en externe ?</w:t>
      </w:r>
    </w:p>
    <w:p>
      <w:pPr>
        <w:spacing w:after="80" w:before="0"/>
      </w:pPr>
      <w:r>
        <w:rPr>
          <w:b w:val="0"/>
          <w:i w:val="0"/>
          <w:color w:val="1E293B"/>
          <w:sz w:val="21"/>
        </w:rPr>
        <w:t>Le dossier produit par Probare est le dossier de travail interne. Il documente les procédures analytiques réalisées et constitue la base de la formation de l'opinion. Le rapport d'audit officiel destiné au client est rédigé par l'auditeur responsable selon les modèles en vigueur dans le cabinet.</w:t>
      </w:r>
    </w:p>
    <w:p>
      <w:pPr>
        <w:spacing w:before="120" w:after="40"/>
        <w:keepLines/>
        <w:keepNext/>
      </w:pPr>
      <w:r>
        <w:rPr>
          <w:b/>
          <w:i w:val="0"/>
          <w:color w:val="0F1724"/>
          <w:sz w:val="21"/>
        </w:rPr>
        <w:t>Plusieurs collaborateurs peuvent-ils intervenir simultanément ?</w:t>
      </w:r>
    </w:p>
    <w:p>
      <w:pPr>
        <w:spacing w:after="80" w:before="0"/>
      </w:pPr>
      <w:r>
        <w:rPr>
          <w:b w:val="0"/>
          <w:i w:val="0"/>
          <w:color w:val="1E293B"/>
          <w:sz w:val="21"/>
        </w:rPr>
        <w:t>Dans la version actuelle, chaque dossier est géré sur un seul poste. Une version permettant l'accès multi-postes depuis le réseau du cabinet est en cours de développement.</w:t>
      </w:r>
    </w:p>
    <w:p>
      <w:pPr>
        <w:spacing w:before="120" w:after="40"/>
        <w:keepLines/>
        <w:keepNext/>
      </w:pPr>
      <w:r>
        <w:rPr>
          <w:b/>
          <w:i w:val="0"/>
          <w:color w:val="0F1724"/>
          <w:sz w:val="21"/>
        </w:rPr>
        <w:t>Quelle est la durée de prise en main ?</w:t>
      </w:r>
    </w:p>
    <w:p>
      <w:pPr>
        <w:spacing w:after="80" w:before="0"/>
      </w:pPr>
      <w:r>
        <w:rPr>
          <w:b w:val="0"/>
          <w:i w:val="0"/>
          <w:color w:val="1E293B"/>
          <w:sz w:val="21"/>
        </w:rPr>
        <w:t>Une mission test complète, conduite avec des données représentatives, peut être réalisée en deux à trois heures. Le workflow guidé et la documentation contextuelle intégrée accompagnent l'auditeur à chaque étape sans formation préalable formelle.</w:t>
      </w:r>
    </w:p>
    <w:p>
      <w:pPr>
        <w:spacing w:before="40" w:after="160"/>
        <w:pBdr>
          <w:bottom w:val="single" w:sz="4" w:space="1" w:color="E2E8F0"/>
        </w:pBdr>
      </w:pPr>
    </w:p>
    <w:p>
      <w:r>
        <w:rPr>
          <w:b w:val="0"/>
          <w:i w:val="0"/>
          <w:color w:val="64748B"/>
          <w:sz w:val="20"/>
        </w:rPr>
        <w:t>Pour toute demande d'information complémentaire ou de démonstration, contacter l'équipe Probare.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