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56"/>
        </w:rPr>
        <w:t>PROBARE</w:t>
      </w:r>
    </w:p>
    <w:p>
      <w:pPr>
        <w:jc w:val="center"/>
      </w:pPr>
      <w:r>
        <w:rPr>
          <w:i/>
        </w:rPr>
        <w:t>Logiciel d'audit IA-first — Djibouti</w:t>
      </w:r>
    </w:p>
    <w:p/>
    <w:p>
      <w:pPr>
        <w:pStyle w:val="Title"/>
        <w:jc w:val="center"/>
      </w:pPr>
      <w:r>
        <w:t>NOTE DE PLANIFICATION DE L'AUDIT</w:t>
      </w:r>
    </w:p>
    <w:p/>
    <w:p>
      <w:pPr>
        <w:spacing w:after="0"/>
      </w:pPr>
      <w:r>
        <w:rPr>
          <w:sz w:val="16"/>
        </w:rPr>
        <w:t>────────────────────────────────────────────────────────────────────────────────</w:t>
      </w:r>
    </w:p>
    <w:p/>
    <w:p>
      <w:pPr>
        <w:jc w:val="center"/>
      </w:pPr>
      <w:r>
        <w:rPr>
          <w:sz w:val="24"/>
        </w:rPr>
        <w:t>Entité auditée : IYYIU</w:t>
        <w:br/>
      </w:r>
      <w:r>
        <w:rPr>
          <w:sz w:val="24"/>
        </w:rPr>
        <w:t>Exercice : 2026</w:t>
        <w:br/>
      </w:r>
      <w:r>
        <w:rPr>
          <w:sz w:val="24"/>
        </w:rPr>
        <w:t>Date d'émission : 22/06/2026 12:33 UTC</w:t>
        <w:br/>
      </w:r>
      <w:r>
        <w:rPr>
          <w:sz w:val="24"/>
        </w:rPr>
        <w:t>Référence NEP : 300 — Planification</w:t>
        <w:br/>
      </w:r>
      <w:r>
        <w:rPr>
          <w:sz w:val="24"/>
        </w:rPr>
        <w:t>Statut : Document de travail — CONFIDENTIEL</w:t>
        <w:br/>
      </w:r>
    </w:p>
    <w:p/>
    <w:p>
      <w:pPr>
        <w:spacing w:after="0"/>
      </w:pPr>
      <w:r>
        <w:rPr>
          <w:sz w:val="16"/>
        </w:rPr>
        <w:t>────────────────────────────────────────────────────────────────────────────────</w:t>
      </w:r>
    </w:p>
    <w:p>
      <w:r>
        <w:br w:type="page"/>
      </w:r>
    </w:p>
    <w:p>
      <w:pPr>
        <w:pStyle w:val="Heading1"/>
      </w:pPr>
      <w:r>
        <w:rPr>
          <w:color w:val="4F46E5"/>
        </w:rPr>
        <w:t>Sommaire</w:t>
      </w:r>
    </w:p>
    <w:p>
      <w:pPr>
        <w:pStyle w:val="ListNumber"/>
      </w:pPr>
      <w:r>
        <w:t>1. Cadre et objectifs de la mission</w:t>
      </w:r>
    </w:p>
    <w:p>
      <w:pPr>
        <w:pStyle w:val="ListNumber"/>
      </w:pPr>
      <w:r>
        <w:t>2. Connaissance de l'entité (NEP 315)</w:t>
      </w:r>
    </w:p>
    <w:p>
      <w:pPr>
        <w:pStyle w:val="ListNumber"/>
      </w:pPr>
      <w:r>
        <w:t>3. Procédures analytiques préliminaires (NEP 520)</w:t>
      </w:r>
    </w:p>
    <w:p>
      <w:pPr>
        <w:pStyle w:val="ListNumber"/>
      </w:pPr>
      <w:r>
        <w:t>4. Seuil de signification (NEP 320)</w:t>
      </w:r>
    </w:p>
    <w:p>
      <w:pPr>
        <w:pStyle w:val="ListNumber"/>
      </w:pPr>
      <w:r>
        <w:t>5. Cartographie des risques (NEP 315)</w:t>
      </w:r>
    </w:p>
    <w:p>
      <w:pPr>
        <w:pStyle w:val="ListNumber"/>
      </w:pPr>
      <w:r>
        <w:t>6. Programme de travail (NEP 300 / NEP 330)</w:t>
      </w:r>
    </w:p>
    <w:p>
      <w:pPr>
        <w:pStyle w:val="ListNumber"/>
      </w:pPr>
      <w:r>
        <w:t>7. Synthèse et conclusion</w:t>
      </w:r>
    </w:p>
    <w:p>
      <w:r>
        <w:br w:type="page"/>
      </w:r>
    </w:p>
    <w:p>
      <w:pPr>
        <w:pStyle w:val="Heading1"/>
      </w:pPr>
      <w:r>
        <w:rPr>
          <w:color w:val="4F46E5"/>
        </w:rPr>
        <w:t>1. Cadre et objectifs de la mission</w:t>
      </w:r>
    </w:p>
    <w:p>
      <w:r>
        <w:rPr>
          <w:b w:val="0"/>
          <w:i w:val="0"/>
          <w:sz w:val="22"/>
        </w:rPr>
        <w:t>La présente note de planification est établie conformément à la NEP 300 pour la mission d'audit des comptes de l'exercice 2026 de l'entité IYYIU. Elle constitue un document de travail confidentiel intégré au dossier d'audit et doit être conservée pendant la durée légale (5 ans).</w:t>
      </w:r>
    </w:p>
    <w:p>
      <w:pPr>
        <w:pStyle w:val="Heading2"/>
      </w:pPr>
      <w:r>
        <w:t>1.1 Objectifs de l'audit</w:t>
      </w:r>
    </w:p>
    <w:p>
      <w:r>
        <w:rPr>
          <w:b w:val="0"/>
          <w:i w:val="0"/>
          <w:sz w:val="22"/>
        </w:rPr>
        <w:t>L'audit a pour objectif d'émettre une opinion sur la régularité, la sincérité et l'image fidèle des états financiers. Cet objectif est atteint par la mise en œuvre de diligences adaptées aux risques identifiés lors de la présente phase de planification.</w:t>
      </w:r>
    </w:p>
    <w:p>
      <w:pPr>
        <w:pStyle w:val="Heading2"/>
      </w:pPr>
      <w:r>
        <w:t>1.2 Référentiels applicables</w:t>
      </w:r>
    </w:p>
    <w:p>
      <w:pPr>
        <w:pStyle w:val="ListBullet"/>
      </w:pPr>
      <w:r>
        <w:t>NEP 300 — Planification de la mission</w:t>
      </w:r>
    </w:p>
    <w:p>
      <w:pPr>
        <w:pStyle w:val="ListBullet"/>
      </w:pPr>
      <w:r>
        <w:t>NEP 315 — Connaissance de l'entité et identification des risques</w:t>
      </w:r>
    </w:p>
    <w:p>
      <w:pPr>
        <w:pStyle w:val="ListBullet"/>
      </w:pPr>
      <w:r>
        <w:t>NEP 320 — Seuil de signification</w:t>
      </w:r>
    </w:p>
    <w:p>
      <w:pPr>
        <w:pStyle w:val="ListBullet"/>
      </w:pPr>
      <w:r>
        <w:t>NEP 330 — Procédures d'audit mises en œuvre en réponse aux risques évalués</w:t>
      </w:r>
    </w:p>
    <w:p>
      <w:pPr>
        <w:pStyle w:val="ListBullet"/>
      </w:pPr>
      <w:r>
        <w:t>NEP 520 — Procédures analytiques</w:t>
      </w:r>
    </w:p>
    <w:p>
      <w:pPr>
        <w:pStyle w:val="ListBullet"/>
      </w:pPr>
      <w:r>
        <w:t>NEP 230 — Documentation des travaux</w:t>
      </w:r>
    </w:p>
    <w:p>
      <w:r>
        <w:br w:type="page"/>
      </w:r>
    </w:p>
    <w:p>
      <w:pPr>
        <w:pStyle w:val="Heading1"/>
      </w:pPr>
      <w:r>
        <w:rPr>
          <w:color w:val="4F46E5"/>
        </w:rPr>
        <w:t>2. Connaissance de l'entité (NEP 315)</w:t>
      </w:r>
    </w:p>
    <w:p>
      <w:r>
        <w:rPr>
          <w:b w:val="0"/>
          <w:i w:val="0"/>
          <w:sz w:val="22"/>
        </w:rPr>
        <w:t>IYYIU est une société à responsabilité limitée (SARL) dont l'activité principale est la vente de véhicules, opérant sur un marché local. L'entité dispose d'un système d'information de type ERP, ce qui constitue un environnement de contrôle formalisé sur le plan technique, bien que la fiabilité des paramétrages et des droits d'accès n'ait pas encore été évaluée à ce stade.</w:t>
        <w:br/>
        <w:br/>
        <w:t>La mission confiée est de nature contractuelle et porte sur l'exercice clos au 31 décembre 2026. Le périmètre retenu couvre le cycle trésorerie, qui concentre, comme nous le verrons, l'essentiel des zones de risque identifiées lors de la phase de planification.</w:t>
        <w:br/>
        <w:br/>
        <w:t>Plusieurs éléments structurels de l'entité renforcent le niveau de risque inhérent sur ce cycle. En premier lieu, la taille de la structure — caractérisée par un effectif limité à quatre salariés — rend très improbable l'existence d'une séparation des tâches effective sur les opérations de trésorerie. Il est vraisemblable qu'un même collaborateur assure à la fois la saisie des écritures, la validation des flux et le suivi des comptes bancaires, sans contrôle indépendant. En second lieu, la fiche entité ne mentionne aucun dirigeant identifié, ce qui nous prive d'une information essentielle pour vérifier les pouvoirs de signature bancaire, les habilitations accordées sur les comptes et la traçabilité des décisions d'autorisation des flux financiers. Enfin, la localisation géographique de la clientèle — potentiellement domiciliée à Djibouti — introduit un facteur de risque supplémentaire quant à la possibilité que des soldes bancaires soient libellés en devises étrangères et, le cas échéant, incorrectement évalués au cours de clôture.</w:t>
        <w:br/>
        <w:br/>
        <w:t>Aucun facteur de risque inhérent formel n'a été documenté à ce stade dans la fiche entité, ce qui ne signifie pas l'absence de risques mais appelle une vigilance accrue lors des travaux de terrain, notamment pour compenser le déficit d'information sur la gouvernance.</w:t>
      </w:r>
    </w:p>
    <w:p/>
    <w:p>
      <w:pPr>
        <w:pStyle w:val="Heading2"/>
      </w:pPr>
      <w:r>
        <w:t>2.1 Identification et présentation générale</w:t>
      </w:r>
    </w:p>
    <w:p>
      <w:r>
        <w:rPr>
          <w:b/>
          <w:sz w:val="22"/>
        </w:rPr>
        <w:t xml:space="preserve">Forme juridique : </w:t>
      </w:r>
      <w:r>
        <w:rPr>
          <w:sz w:val="22"/>
        </w:rPr>
        <w:t>SARL</w:t>
      </w:r>
      <w:r>
        <w:br/>
      </w:r>
      <w:r>
        <w:rPr>
          <w:b/>
          <w:sz w:val="22"/>
        </w:rPr>
        <w:t xml:space="preserve">Date de création : </w:t>
      </w:r>
      <w:r>
        <w:rPr>
          <w:sz w:val="22"/>
        </w:rPr>
        <w:t>2011-11-11</w:t>
      </w:r>
      <w:r>
        <w:br/>
      </w:r>
      <w:r>
        <w:rPr>
          <w:b/>
          <w:sz w:val="22"/>
        </w:rPr>
        <w:t xml:space="preserve">Effectif : </w:t>
      </w:r>
      <w:r>
        <w:rPr>
          <w:sz w:val="22"/>
        </w:rPr>
        <w:t>4</w:t>
      </w:r>
      <w:r>
        <w:br/>
      </w:r>
      <w:r>
        <w:rPr>
          <w:b/>
          <w:sz w:val="22"/>
        </w:rPr>
        <w:t xml:space="preserve">Système d'information : </w:t>
      </w:r>
      <w:r>
        <w:rPr>
          <w:sz w:val="22"/>
        </w:rPr>
        <w:t>ERP</w:t>
      </w:r>
      <w:r>
        <w:br/>
      </w:r>
    </w:p>
    <w:p>
      <w:pPr>
        <w:pStyle w:val="Heading2"/>
      </w:pPr>
      <w:r>
        <w:t>2.2 Activités et marchés</w:t>
      </w:r>
    </w:p>
    <w:p>
      <w:r>
        <w:rPr>
          <w:b w:val="0"/>
          <w:i w:val="0"/>
          <w:sz w:val="22"/>
        </w:rPr>
        <w:t>Ventes de véhicules</w:t>
      </w:r>
    </w:p>
    <w:p>
      <w:r>
        <w:rPr>
          <w:b w:val="0"/>
          <w:i w:val="0"/>
          <w:sz w:val="22"/>
        </w:rPr>
        <w:t>Marchés principaux : Local</w:t>
      </w:r>
    </w:p>
    <w:p>
      <w:pPr>
        <w:pStyle w:val="Heading2"/>
      </w:pPr>
      <w:r>
        <w:t>2.3 Gouvernance — Dirigeants</w:t>
      </w:r>
    </w:p>
    <w:p>
      <w:r>
        <w:rPr>
          <w:b w:val="0"/>
          <w:i/>
          <w:sz w:val="22"/>
        </w:rPr>
        <w:t>Aucun dirigeant renseigné.</w:t>
      </w:r>
    </w:p>
    <w:p>
      <w:pPr>
        <w:pStyle w:val="Heading2"/>
      </w:pPr>
      <w:r>
        <w:t>2.4 Facteurs de risque inhérent identifiés</w:t>
      </w:r>
    </w:p>
    <w:p>
      <w:r>
        <w:rPr>
          <w:b w:val="0"/>
          <w:i/>
          <w:sz w:val="22"/>
        </w:rPr>
        <w:t>Aucun facteur de risque inhérent spécifique identifié.</w:t>
      </w:r>
    </w:p>
    <w:p>
      <w:r>
        <w:br w:type="page"/>
      </w:r>
    </w:p>
    <w:p>
      <w:pPr>
        <w:pStyle w:val="Heading1"/>
      </w:pPr>
      <w:r>
        <w:rPr>
          <w:color w:val="4F46E5"/>
        </w:rPr>
        <w:t>3. Procédures analytiques préliminaires (NEP 520)</w:t>
      </w:r>
    </w:p>
    <w:p>
      <w:r>
        <w:rPr>
          <w:b w:val="0"/>
          <w:i w:val="0"/>
          <w:sz w:val="22"/>
        </w:rPr>
        <w:t>Nous avons procédé à une analyse comparative N/N-1 de la balance générale de l'exercice 2026. Sur les onze comptes présentant des variations significatives, plusieurs appellent une attention particulière dans le cadre du cycle audité.</w:t>
        <w:br/>
        <w:br/>
        <w:t>La variation la plus préoccupante concerne le compte 512 — Banque BCI, CC n°4521. Son solde progresse de 45,83 %, soit une variation de 11 000 000, dont 6 500 000 demeurent sans justification selon le moteur d'analyse. Cette anomalie explicitement signalée constitue une alerte de premier ordre : elle met directement en cause la fiabilité du solde de trésorerie présenté au bilan et impose une investigation approfondie portant sur l'existence et l'exhaustivité de ce solde. À ce stade, nous ne pouvons exclure une écriture fictive, une double comptabilisation ou un virement non identifié.</w:t>
        <w:br/>
        <w:br/>
        <w:t>En dehors du cycle trésorerie stricto sensu, d'autres variations méritent d'être signalées pour leur potentielle interaction avec les flux financiers. La progression de 53,85 % du compte 706 — Prestations de services est disproportionnée au regard du secteur déclaré (vente de véhicules), et soulève un risque de mauvaise classification de produits ou de reconnaissance anticipée de chiffre d'affaires. L'augmentation du capital social (+25 %) et des réserves légales (+75 %) suggère une opération sur capitaux propres dont la régularité et la documentation devront être vérifiées. La dégradation simultanée des créances clients (+23,33 %) et des clients douteux (+33,33 %) indique un risque de sous-provisionnement. Enfin, le décalage entre la hausse des achats de matières premières (+22,22 %) et celle des dettes fournisseurs (+35,71 %) interroge sur le cut-off des achats.</w:t>
        <w:br/>
        <w:br/>
        <w:t>Ces observations dépassent le seul cycle trésorerie mais elles constituent un contexte de risque global pertinent pour comprendre l'environnement dans lequel s'inscrivent les flux financiers audités. Le seuil de signification retenu pour cet exercice est fixé à 935 000 FDJ, niveau au regard duquel la variation inexpliquée sur le compte 512 représente un multiple très significatif, justifiant pleinement une approche substantive renforcée.</w:t>
      </w:r>
    </w:p>
    <w:p>
      <w:pPr>
        <w:pStyle w:val="Heading2"/>
      </w:pPr>
      <w:r>
        <w:t>3.1 Variations significatives identifiées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Compte</w:t>
            </w:r>
          </w:p>
        </w:tc>
        <w:tc>
          <w:tcPr>
            <w:tcW w:type="dxa" w:w="1881"/>
          </w:tcPr>
          <w:p>
            <w:r>
              <w:rPr>
                <w:b/>
              </w:rPr>
              <w:t>Libellé</w:t>
            </w:r>
          </w:p>
        </w:tc>
        <w:tc>
          <w:tcPr>
            <w:tcW w:type="dxa" w:w="1881"/>
          </w:tcPr>
          <w:p>
            <w:r>
              <w:rPr>
                <w:b/>
              </w:rPr>
              <w:t>Solde N</w:t>
            </w:r>
          </w:p>
        </w:tc>
        <w:tc>
          <w:tcPr>
            <w:tcW w:type="dxa" w:w="1881"/>
          </w:tcPr>
          <w:p>
            <w:r>
              <w:rPr>
                <w:b/>
              </w:rPr>
              <w:t>Solde N-1</w:t>
            </w:r>
          </w:p>
        </w:tc>
        <w:tc>
          <w:tcPr>
            <w:tcW w:type="dxa" w:w="1881"/>
          </w:tcPr>
          <w:p>
            <w:r>
              <w:rPr>
                <w:b/>
              </w:rPr>
              <w:t>Variation %</w:t>
            </w:r>
          </w:p>
        </w:tc>
      </w:tr>
      <w:tr>
        <w:tc>
          <w:tcPr>
            <w:tcW w:type="dxa" w:w="1881"/>
          </w:tcPr>
          <w:p>
            <w:r>
              <w:t>512</w:t>
            </w:r>
          </w:p>
        </w:tc>
        <w:tc>
          <w:tcPr>
            <w:tcW w:type="dxa" w:w="1881"/>
          </w:tcPr>
          <w:p>
            <w:r>
              <w:t>Banque BCI — CC n°4521 [ERREUR: 6 500 000 en trop]</w:t>
            </w:r>
          </w:p>
        </w:tc>
        <w:tc>
          <w:tcPr>
            <w:tcW w:type="dxa" w:w="1881"/>
          </w:tcPr>
          <w:p>
            <w:r>
              <w:t>35,000,000 FDJ</w:t>
            </w:r>
          </w:p>
        </w:tc>
        <w:tc>
          <w:tcPr>
            <w:tcW w:type="dxa" w:w="1881"/>
          </w:tcPr>
          <w:p>
            <w:r>
              <w:t>24,000,000 FDJ</w:t>
            </w:r>
          </w:p>
        </w:tc>
        <w:tc>
          <w:tcPr>
            <w:tcW w:type="dxa" w:w="1881"/>
          </w:tcPr>
          <w:p>
            <w:r>
              <w:t>+45.8 %</w:t>
            </w:r>
          </w:p>
        </w:tc>
      </w:tr>
      <w:tr>
        <w:tc>
          <w:tcPr>
            <w:tcW w:type="dxa" w:w="1881"/>
          </w:tcPr>
          <w:p>
            <w:r>
              <w:t>706</w:t>
            </w:r>
          </w:p>
        </w:tc>
        <w:tc>
          <w:tcPr>
            <w:tcW w:type="dxa" w:w="1881"/>
          </w:tcPr>
          <w:p>
            <w:r>
              <w:t>Prestations de services</w:t>
            </w:r>
          </w:p>
        </w:tc>
        <w:tc>
          <w:tcPr>
            <w:tcW w:type="dxa" w:w="1881"/>
          </w:tcPr>
          <w:p>
            <w:r>
              <w:t>-30,000,000 FDJ</w:t>
            </w:r>
          </w:p>
        </w:tc>
        <w:tc>
          <w:tcPr>
            <w:tcW w:type="dxa" w:w="1881"/>
          </w:tcPr>
          <w:p>
            <w:r>
              <w:t>-19,500,000 FDJ</w:t>
            </w:r>
          </w:p>
        </w:tc>
        <w:tc>
          <w:tcPr>
            <w:tcW w:type="dxa" w:w="1881"/>
          </w:tcPr>
          <w:p>
            <w:r>
              <w:t>-53.9 %</w:t>
            </w:r>
          </w:p>
        </w:tc>
      </w:tr>
      <w:tr>
        <w:tc>
          <w:tcPr>
            <w:tcW w:type="dxa" w:w="1881"/>
          </w:tcPr>
          <w:p>
            <w:r>
              <w:t>101</w:t>
            </w:r>
          </w:p>
        </w:tc>
        <w:tc>
          <w:tcPr>
            <w:tcW w:type="dxa" w:w="1881"/>
          </w:tcPr>
          <w:p>
            <w:r>
              <w:t>Capital social</w:t>
            </w:r>
          </w:p>
        </w:tc>
        <w:tc>
          <w:tcPr>
            <w:tcW w:type="dxa" w:w="1881"/>
          </w:tcPr>
          <w:p>
            <w:r>
              <w:t>-25,000,000 FDJ</w:t>
            </w:r>
          </w:p>
        </w:tc>
        <w:tc>
          <w:tcPr>
            <w:tcW w:type="dxa" w:w="1881"/>
          </w:tcPr>
          <w:p>
            <w:r>
              <w:t>-20,000,000 FDJ</w:t>
            </w:r>
          </w:p>
        </w:tc>
        <w:tc>
          <w:tcPr>
            <w:tcW w:type="dxa" w:w="1881"/>
          </w:tcPr>
          <w:p>
            <w:r>
              <w:t>-25.0 %</w:t>
            </w:r>
          </w:p>
        </w:tc>
      </w:tr>
      <w:tr>
        <w:tc>
          <w:tcPr>
            <w:tcW w:type="dxa" w:w="1881"/>
          </w:tcPr>
          <w:p>
            <w:r>
              <w:t>411</w:t>
            </w:r>
          </w:p>
        </w:tc>
        <w:tc>
          <w:tcPr>
            <w:tcW w:type="dxa" w:w="1881"/>
          </w:tcPr>
          <w:p>
            <w:r>
              <w:t>Clients Djibouti</w:t>
            </w:r>
          </w:p>
        </w:tc>
        <w:tc>
          <w:tcPr>
            <w:tcW w:type="dxa" w:w="1881"/>
          </w:tcPr>
          <w:p>
            <w:r>
              <w:t>18,500,000 FDJ</w:t>
            </w:r>
          </w:p>
        </w:tc>
        <w:tc>
          <w:tcPr>
            <w:tcW w:type="dxa" w:w="1881"/>
          </w:tcPr>
          <w:p>
            <w:r>
              <w:t>15,000,000 FDJ</w:t>
            </w:r>
          </w:p>
        </w:tc>
        <w:tc>
          <w:tcPr>
            <w:tcW w:type="dxa" w:w="1881"/>
          </w:tcPr>
          <w:p>
            <w:r>
              <w:t>+23.3 %</w:t>
            </w:r>
          </w:p>
        </w:tc>
      </w:tr>
      <w:tr>
        <w:tc>
          <w:tcPr>
            <w:tcW w:type="dxa" w:w="1881"/>
          </w:tcPr>
          <w:p>
            <w:r>
              <w:t>401</w:t>
            </w:r>
          </w:p>
        </w:tc>
        <w:tc>
          <w:tcPr>
            <w:tcW w:type="dxa" w:w="1881"/>
          </w:tcPr>
          <w:p>
            <w:r>
              <w:t>Fournisseurs divers</w:t>
            </w:r>
          </w:p>
        </w:tc>
        <w:tc>
          <w:tcPr>
            <w:tcW w:type="dxa" w:w="1881"/>
          </w:tcPr>
          <w:p>
            <w:r>
              <w:t>-9,500,000 FDJ</w:t>
            </w:r>
          </w:p>
        </w:tc>
        <w:tc>
          <w:tcPr>
            <w:tcW w:type="dxa" w:w="1881"/>
          </w:tcPr>
          <w:p>
            <w:r>
              <w:t>-7,000,000 FDJ</w:t>
            </w:r>
          </w:p>
        </w:tc>
        <w:tc>
          <w:tcPr>
            <w:tcW w:type="dxa" w:w="1881"/>
          </w:tcPr>
          <w:p>
            <w:r>
              <w:t>-35.7 %</w:t>
            </w:r>
          </w:p>
        </w:tc>
      </w:tr>
      <w:tr>
        <w:tc>
          <w:tcPr>
            <w:tcW w:type="dxa" w:w="1881"/>
          </w:tcPr>
          <w:p>
            <w:r>
              <w:t>601</w:t>
            </w:r>
          </w:p>
        </w:tc>
        <w:tc>
          <w:tcPr>
            <w:tcW w:type="dxa" w:w="1881"/>
          </w:tcPr>
          <w:p>
            <w:r>
              <w:t>Achats matières premières</w:t>
            </w:r>
          </w:p>
        </w:tc>
        <w:tc>
          <w:tcPr>
            <w:tcW w:type="dxa" w:w="1881"/>
          </w:tcPr>
          <w:p>
            <w:r>
              <w:t>11,000,000 FDJ</w:t>
            </w:r>
          </w:p>
        </w:tc>
        <w:tc>
          <w:tcPr>
            <w:tcW w:type="dxa" w:w="1881"/>
          </w:tcPr>
          <w:p>
            <w:r>
              <w:t>9,000,000 FDJ</w:t>
            </w:r>
          </w:p>
        </w:tc>
        <w:tc>
          <w:tcPr>
            <w:tcW w:type="dxa" w:w="1881"/>
          </w:tcPr>
          <w:p>
            <w:r>
              <w:t>+22.2 %</w:t>
            </w:r>
          </w:p>
        </w:tc>
      </w:tr>
      <w:tr>
        <w:tc>
          <w:tcPr>
            <w:tcW w:type="dxa" w:w="1881"/>
          </w:tcPr>
          <w:p>
            <w:r>
              <w:t>106</w:t>
            </w:r>
          </w:p>
        </w:tc>
        <w:tc>
          <w:tcPr>
            <w:tcW w:type="dxa" w:w="1881"/>
          </w:tcPr>
          <w:p>
            <w:r>
              <w:t>Réserves légales</w:t>
            </w:r>
          </w:p>
        </w:tc>
        <w:tc>
          <w:tcPr>
            <w:tcW w:type="dxa" w:w="1881"/>
          </w:tcPr>
          <w:p>
            <w:r>
              <w:t>-3,500,000 FDJ</w:t>
            </w:r>
          </w:p>
        </w:tc>
        <w:tc>
          <w:tcPr>
            <w:tcW w:type="dxa" w:w="1881"/>
          </w:tcPr>
          <w:p>
            <w:r>
              <w:t>-2,000,000 FDJ</w:t>
            </w:r>
          </w:p>
        </w:tc>
        <w:tc>
          <w:tcPr>
            <w:tcW w:type="dxa" w:w="1881"/>
          </w:tcPr>
          <w:p>
            <w:r>
              <w:t>-75.0 %</w:t>
            </w:r>
          </w:p>
        </w:tc>
      </w:tr>
      <w:tr>
        <w:tc>
          <w:tcPr>
            <w:tcW w:type="dxa" w:w="1881"/>
          </w:tcPr>
          <w:p>
            <w:r>
              <w:t>514</w:t>
            </w:r>
          </w:p>
        </w:tc>
        <w:tc>
          <w:tcPr>
            <w:tcW w:type="dxa" w:w="1881"/>
          </w:tcPr>
          <w:p>
            <w:r>
              <w:t>Banque CFE — CC n°8830</w:t>
            </w:r>
          </w:p>
        </w:tc>
        <w:tc>
          <w:tcPr>
            <w:tcW w:type="dxa" w:w="1881"/>
          </w:tcPr>
          <w:p>
            <w:r>
              <w:t>6,500,000 FDJ</w:t>
            </w:r>
          </w:p>
        </w:tc>
        <w:tc>
          <w:tcPr>
            <w:tcW w:type="dxa" w:w="1881"/>
          </w:tcPr>
          <w:p>
            <w:r>
              <w:t>5,000,000 FDJ</w:t>
            </w:r>
          </w:p>
        </w:tc>
        <w:tc>
          <w:tcPr>
            <w:tcW w:type="dxa" w:w="1881"/>
          </w:tcPr>
          <w:p>
            <w:r>
              <w:t>+30.0 %</w:t>
            </w:r>
          </w:p>
        </w:tc>
      </w:tr>
      <w:tr>
        <w:tc>
          <w:tcPr>
            <w:tcW w:type="dxa" w:w="1881"/>
          </w:tcPr>
          <w:p>
            <w:r>
              <w:t>531</w:t>
            </w:r>
          </w:p>
        </w:tc>
        <w:tc>
          <w:tcPr>
            <w:tcW w:type="dxa" w:w="1881"/>
          </w:tcPr>
          <w:p>
            <w:r>
              <w:t>Caisse principale</w:t>
            </w:r>
          </w:p>
        </w:tc>
        <w:tc>
          <w:tcPr>
            <w:tcW w:type="dxa" w:w="1881"/>
          </w:tcPr>
          <w:p>
            <w:r>
              <w:t>5,500,000 FDJ</w:t>
            </w:r>
          </w:p>
        </w:tc>
        <w:tc>
          <w:tcPr>
            <w:tcW w:type="dxa" w:w="1881"/>
          </w:tcPr>
          <w:p>
            <w:r>
              <w:t>4,500,000 FDJ</w:t>
            </w:r>
          </w:p>
        </w:tc>
        <w:tc>
          <w:tcPr>
            <w:tcW w:type="dxa" w:w="1881"/>
          </w:tcPr>
          <w:p>
            <w:r>
              <w:t>+22.2 %</w:t>
            </w:r>
          </w:p>
        </w:tc>
      </w:tr>
      <w:tr>
        <w:tc>
          <w:tcPr>
            <w:tcW w:type="dxa" w:w="1881"/>
          </w:tcPr>
          <w:p>
            <w:r>
              <w:t>416</w:t>
            </w:r>
          </w:p>
        </w:tc>
        <w:tc>
          <w:tcPr>
            <w:tcW w:type="dxa" w:w="1881"/>
          </w:tcPr>
          <w:p>
            <w:r>
              <w:t>Clients douteux</w:t>
            </w:r>
          </w:p>
        </w:tc>
        <w:tc>
          <w:tcPr>
            <w:tcW w:type="dxa" w:w="1881"/>
          </w:tcPr>
          <w:p>
            <w:r>
              <w:t>2,000,000 FDJ</w:t>
            </w:r>
          </w:p>
        </w:tc>
        <w:tc>
          <w:tcPr>
            <w:tcW w:type="dxa" w:w="1881"/>
          </w:tcPr>
          <w:p>
            <w:r>
              <w:t>1,500,000 FDJ</w:t>
            </w:r>
          </w:p>
        </w:tc>
        <w:tc>
          <w:tcPr>
            <w:tcW w:type="dxa" w:w="1881"/>
          </w:tcPr>
          <w:p>
            <w:r>
              <w:t>+33.3 %</w:t>
            </w:r>
          </w:p>
        </w:tc>
      </w:tr>
      <w:tr>
        <w:tc>
          <w:tcPr>
            <w:tcW w:type="dxa" w:w="1881"/>
          </w:tcPr>
          <w:p>
            <w:r>
              <w:t>624</w:t>
            </w:r>
          </w:p>
        </w:tc>
        <w:tc>
          <w:tcPr>
            <w:tcW w:type="dxa" w:w="1881"/>
          </w:tcPr>
          <w:p>
            <w:r>
              <w:t>Transports sur achats</w:t>
            </w:r>
          </w:p>
        </w:tc>
        <w:tc>
          <w:tcPr>
            <w:tcW w:type="dxa" w:w="1881"/>
          </w:tcPr>
          <w:p>
            <w:r>
              <w:t>2,000,000 FDJ</w:t>
            </w:r>
          </w:p>
        </w:tc>
        <w:tc>
          <w:tcPr>
            <w:tcW w:type="dxa" w:w="1881"/>
          </w:tcPr>
          <w:p>
            <w:r>
              <w:t>1,500,000 FDJ</w:t>
            </w:r>
          </w:p>
        </w:tc>
        <w:tc>
          <w:tcPr>
            <w:tcW w:type="dxa" w:w="1881"/>
          </w:tcPr>
          <w:p>
            <w:r>
              <w:t>+33.3 %</w:t>
            </w:r>
          </w:p>
        </w:tc>
      </w:tr>
    </w:tbl>
    <w:p/>
    <w:p>
      <w:pPr>
        <w:pStyle w:val="Heading2"/>
      </w:pPr>
      <w:r>
        <w:t>3.2 Interprétation</w:t>
      </w:r>
    </w:p>
    <w:p>
      <w:r>
        <w:rPr>
          <w:b w:val="0"/>
          <w:i w:val="0"/>
          <w:sz w:val="22"/>
        </w:rPr>
        <w:t>L'analyse comparative N/N-1 de la balance générale de l'exercice 2026 révèle des variations significatives sur onze comptes, dont plusieurs appellent une attention particulière. La variation la plus notable concerne le compte 512 (Banque BCI — CC n°4521), dont le solde progresse de 45,83 %, avec une anomalie explicitement signalée par le moteur d'analyse : un excédent de 6 500 000 non justifié, ce qui constitue une alerte de premier ordre sur la fiabilité des soldes de trésorerie. En parallèle, le compte 706 (Prestations de services) enregistre une hausse de 53,85 % de son solde créditeur, soit une progression du chiffre d'affaires sur prestations particulièrement marquée pour une entité dont le secteur déclaré est la vente de véhicules, ce qui soulève une interrogation sur la nature et la classification des produits. L'augmentation du capital social (compte 101, +25 %) et des réserves légales (compte 106, +75 %) suggère une opération sur les capitaux propres intervenue en cours d'exercice, dont la régularité et la documentation devront être vérifiées. La progression concomitante des créances clients (compte 411, +23,33 %) et des clients douteux (compte 416, +33,33 %) indique une dégradation potentielle de la qualité du portefeuille clients, nécessitant un examen approfondi des provisions pour dépréciation. Enfin, la cohérence entre la hausse des achats de matières premières (compte 601, +22,22 %) et celle des fournisseurs (compte 401, +35,71 %) devra être rapprochée de l'évolution du chiffre d'affaires afin d'évaluer la vraisemblance des marges dégagées.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Cycle / Compte</w:t>
            </w:r>
          </w:p>
        </w:tc>
        <w:tc>
          <w:tcPr>
            <w:tcW w:type="dxa" w:w="3135"/>
          </w:tcPr>
          <w:p>
            <w:r>
              <w:rPr>
                <w:b/>
              </w:rPr>
              <w:t>Niveau</w:t>
            </w:r>
          </w:p>
        </w:tc>
        <w:tc>
          <w:tcPr>
            <w:tcW w:type="dxa" w:w="3135"/>
          </w:tcPr>
          <w:p>
            <w:r>
              <w:rPr>
                <w:b/>
              </w:rPr>
              <w:t>Explication</w:t>
            </w:r>
          </w:p>
        </w:tc>
      </w:tr>
      <w:tr>
        <w:tc>
          <w:tcPr>
            <w:tcW w:type="dxa" w:w="3135"/>
          </w:tcPr>
          <w:p>
            <w:r>
              <w:t>Anomalie sur le solde Banque BCI — CC n°4521 (compte 512)</w:t>
            </w:r>
          </w:p>
        </w:tc>
        <w:tc>
          <w:tcPr>
            <w:tcW w:type="dxa" w:w="3135"/>
          </w:tcPr>
          <w:p>
            <w:r>
              <w:t>eleve</w:t>
            </w:r>
          </w:p>
        </w:tc>
        <w:tc>
          <w:tcPr>
            <w:tcW w:type="dxa" w:w="3135"/>
          </w:tcPr>
          <w:p>
            <w:r>
              <w:t>Le moteur d'analyse signale un montant de 6 500 000 en excédent sur ce compte, dont la variation globale s'élève à 11 000 000 (+45,83 %). Cette incohérence flagrante impose une procédure de confirmation bancaire directe, un rapprochement bancaire exhaustif et une vérification des journaux de trésorerie afin d'identifier la nature de cet écart (écriture fictive, double comptabilisation, virement non identifié). L'assertion d'existence et d'exhaustivité est directement mise en cause.</w:t>
            </w:r>
          </w:p>
        </w:tc>
      </w:tr>
      <w:tr>
        <w:tc>
          <w:tcPr>
            <w:tcW w:type="dxa" w:w="3135"/>
          </w:tcPr>
          <w:p>
            <w:r>
              <w:t>Progression atypique du compte 706 — Prestations de services dans un secteur de vente de véhicules</w:t>
            </w:r>
          </w:p>
        </w:tc>
        <w:tc>
          <w:tcPr>
            <w:tcW w:type="dxa" w:w="3135"/>
          </w:tcPr>
          <w:p>
            <w:r>
              <w:t>eleve</w:t>
            </w:r>
          </w:p>
        </w:tc>
        <w:tc>
          <w:tcPr>
            <w:tcW w:type="dxa" w:w="3135"/>
          </w:tcPr>
          <w:p>
            <w:r>
              <w:t>Une hausse de 53,85 % des produits de prestations de services est disproportionnée au regard du secteur déclaré. Pour une SARL opérant dans la vente de véhicules, les prestations de services constituent généralement un produit accessoire. Cette variation soulève un risque de mauvaise classification de produits (confusion avec des ventes de véhicules ou des commissions), voire un risque de reconnaissance anticipée ou fictive de produits. Les assertions d'occurrence, de classification et de cut-off sont concernées.</w:t>
            </w:r>
          </w:p>
        </w:tc>
      </w:tr>
      <w:tr>
        <w:tc>
          <w:tcPr>
            <w:tcW w:type="dxa" w:w="3135"/>
          </w:tcPr>
          <w:p>
            <w:r>
              <w:t>Dégradation du portefeuille clients — comptes 411 et 416</w:t>
            </w:r>
          </w:p>
        </w:tc>
        <w:tc>
          <w:tcPr>
            <w:tcW w:type="dxa" w:w="3135"/>
          </w:tcPr>
          <w:p>
            <w:r>
              <w:t>eleve</w:t>
            </w:r>
          </w:p>
        </w:tc>
        <w:tc>
          <w:tcPr>
            <w:tcW w:type="dxa" w:w="3135"/>
          </w:tcPr>
          <w:p>
            <w:r>
              <w:t>La progression simultanée des créances clients ordinaires (+23,33 %) et des clients douteux (+33,33 %) traduit une détérioration de la qualité du recouvrement. Le risque de sous-provisionnement des créances douteuses est réel et pourrait conduire à une surévaluation de l'actif circulant. Il conviendra de tester l'adéquation des dépréciations constituées au regard de l'antériorité des créances et de la solvabilité des débiteurs identifiés (notamment la clientèle domiciliée à Djibouti, dont la localisation géographique peut compliquer les voies de recouvrement).</w:t>
            </w:r>
          </w:p>
        </w:tc>
      </w:tr>
      <w:tr>
        <w:tc>
          <w:tcPr>
            <w:tcW w:type="dxa" w:w="3135"/>
          </w:tcPr>
          <w:p>
            <w:r>
              <w:t>Opérations sur capitaux propres — comptes 101 et 106</w:t>
            </w:r>
          </w:p>
        </w:tc>
        <w:tc>
          <w:tcPr>
            <w:tcW w:type="dxa" w:w="3135"/>
          </w:tcPr>
          <w:p>
            <w:r>
              <w:t>moyen</w:t>
            </w:r>
          </w:p>
        </w:tc>
        <w:tc>
          <w:tcPr>
            <w:tcW w:type="dxa" w:w="3135"/>
          </w:tcPr>
          <w:p>
            <w:r>
              <w:t>La variation du capital social (-5 000 000 en valeur absolue, soit +25 % en montant nominal) et la progression des réserves légales (+75 %) suggèrent une ou plusieurs opérations affectant les capitaux propres au cours de l'exercice (augmentation de capital, affectation du résultat N-1, incorporation de réserves). Dans le cadre d'une SARL, ces opérations doivent être appuyées par des décisions d'assemblée dûment enregistrées et, le cas échéant, par des formalités légales de publicité. L'assertion de droits et obligations ainsi que la conformité aux statuts doivent être vérifiées.</w:t>
            </w:r>
          </w:p>
        </w:tc>
      </w:tr>
      <w:tr>
        <w:tc>
          <w:tcPr>
            <w:tcW w:type="dxa" w:w="3135"/>
          </w:tcPr>
          <w:p>
            <w:r>
              <w:t>Cohérence achats / fournisseurs — comptes 601 et 401</w:t>
            </w:r>
          </w:p>
        </w:tc>
        <w:tc>
          <w:tcPr>
            <w:tcW w:type="dxa" w:w="3135"/>
          </w:tcPr>
          <w:p>
            <w:r>
              <w:t>moyen</w:t>
            </w:r>
          </w:p>
        </w:tc>
        <w:tc>
          <w:tcPr>
            <w:tcW w:type="dxa" w:w="3135"/>
          </w:tcPr>
          <w:p>
            <w:r>
              <w:t>La hausse des achats de matières premières (+22,22 %) s'accompagne d'une progression plus forte des dettes fournisseurs (+35,71 %), ce qui peut indiquer un allongement des délais de règlement fournisseurs ou la comptabilisation d'achats non encore réglés en fin de période. Ce décalage mérite un test de cut-off sur les factures fournisseurs et une analyse des conditions de règlement négociées. Par ailleurs, dans un secteur de vente de véhicules, la présence d'achats de matières premières (compte 601) plutôt que de marchandises (compte 607) interroge sur la correcte imputation comptable des approvisionnements.</w:t>
            </w:r>
          </w:p>
        </w:tc>
      </w:tr>
    </w:tbl>
    <w:p/>
    <w:p>
      <w:r>
        <w:rPr>
          <w:b w:val="0"/>
          <w:i w:val="0"/>
          <w:sz w:val="22"/>
        </w:rPr>
        <w:t>Facteurs contextuels : Dans le secteur de la vente de véhicules, une progression des volumes d'activité peut naturellement entraîner une hausse concomitante des créances clients, des dettes fournisseurs et des flux de trésorerie, ce qui rend cohérentes, en apparence, plusieurs des variations observées. Toutefois, la forte progression du compte 706 reste difficilement explicable par la seule dynamique sectorielle, sauf à envisager un développement délibéré d'activités annexes (financement, entretien, location) qui devrait alors être documenté et correctement présenté dans les états financiers. L'environnement géographique de l'entité, opérant notamment avec une clientèle à Djibouti, peut par ailleurs introduire des risques de change, de recouvrement transfrontalier et de conformité réglementaire qui renforcent le niveau de risque inhérent global de la mission.</w:t>
      </w:r>
    </w:p>
    <w:p>
      <w:pPr>
        <w:pStyle w:val="Heading2"/>
      </w:pPr>
      <w:r>
        <w:t>Points d'attention</w:t>
      </w:r>
    </w:p>
    <w:p>
      <w:pPr>
        <w:pStyle w:val="ListBullet"/>
      </w:pPr>
      <w:r>
        <w:t>ALERTE CRITIQUE — Compte 512 (Banque BCI) : le moteur d'analyse signale un montant de 6 500 000 en excédent inexpliqué sur le solde bancaire. Cette anomalie doit faire l'objet d'une confirmation bancaire directe prioritaire et d'un rapprochement poste par poste avant toute autre procédure sur la trésorerie. En l'absence d'explication satisfaisante, un risque d'erreur matérielle, voire de fraude, ne peut être écarté.</w:t>
      </w:r>
    </w:p>
    <w:p>
      <w:pPr>
        <w:pStyle w:val="ListBullet"/>
      </w:pPr>
      <w:r>
        <w:t>ALERTE HAUTE — Incohérence sectorielle sur le compte 706 : dans un secteur de vente de véhicules, une progression de 53,85 % des prestations de services sans justification opérationnelle documentée constitue un signal d'alerte sur la correcte classification et reconnaissance des produits. Un risque de gonflement artificiel du chiffre d'affaires ou de confusion avec d'autres rubriques de produits doit être investigué.</w:t>
      </w:r>
    </w:p>
    <w:p>
      <w:pPr>
        <w:pStyle w:val="ListBullet"/>
      </w:pPr>
      <w:r>
        <w:t>ALERTE MOYENNE — Compte 601 (Achats matières premières) : l'utilisation du compte 601 dans une entité de vente de véhicules est atypique ; les approvisionnements en véhicules ou pièces détachées devraient en principe être comptabilisés en compte 607 (Achats de marchandises). Cette imputation peut induire une distorsion dans le calcul de la marge brute et doit être vérifiée au regard du plan comptable appliqué.</w:t>
      </w:r>
    </w:p>
    <w:p>
      <w:pPr>
        <w:pStyle w:val="ListBullet"/>
      </w:pPr>
      <w:r>
        <w:t>ALERTE MOYENNE — Clients douteux (compte 416) en progression de 33,33 % : la dégradation du portefeuille clients, couplée à la présence d'une clientèle géographiquement éloignée (Djibouti), impose de s'assurer que les dépréciations constituées sont suffisantes et conformes aux critères de la norme applicable, afin d'éviter une surévaluation de l'actif net.</w:t>
      </w:r>
    </w:p>
    <w:p>
      <w:r>
        <w:br w:type="page"/>
      </w:r>
    </w:p>
    <w:p>
      <w:pPr>
        <w:pStyle w:val="Heading1"/>
      </w:pPr>
      <w:r>
        <w:rPr>
          <w:color w:val="4F46E5"/>
        </w:rPr>
        <w:t>4. Seuil de signification (NEP 320)</w:t>
      </w:r>
    </w:p>
    <w:p>
      <w:r>
        <w:rPr>
          <w:b w:val="0"/>
          <w:i w:val="0"/>
          <w:sz w:val="22"/>
        </w:rPr>
        <w:t>Sur la base des procédures analytiques et de l'analyse de l'environnement de l'entité, nous avons identifié et validé huit risques sur le cycle trésorerie, dont cinq présentent un niveau élevé et trois un niveau moyen.</w:t>
        <w:br/>
        <w:br/>
        <w:t>**Risques de niveau élevé :**</w:t>
        <w:br/>
        <w:br/>
        <w:t>— *Solde bancaire anormalement élevé — compte 512 BCI CC n°4521* (source : analytique) : l'excédent non justifié de 6 500 000 sur ce compte constitue le risque principal de la mission. Les assertions d'existence et d'exhaustivité sont directement mises en cause. Ce risque est à l'origine de l'orientation substantive de l'ensemble du programme de travail.</w:t>
        <w:br/>
        <w:br/>
        <w:t>— *Absence de rapprochement bancaire formalisé en fin de période* (source : entité) : dans une structure à effectif réduit, l'absence probable de rapprochement bancaire indépendant prive l'entité d'un contrôle compensatoire fondamental. Les assertions d'exhaustivité et d'existence sont concernées.</w:t>
        <w:br/>
        <w:br/>
        <w:t>— *Risque de cut-off sur les encaissements et décaissements de fin d'exercice* (source : analytique) : la variation importante du solde bancaire expose à un risque de rattachement incorrect des flux à l'exercice, notamment pour les virements en transit ou les chèques émis non débités. Les assertions de cut-off et d'exhaustivité sont visées.</w:t>
        <w:br/>
        <w:br/>
        <w:t>— *Risque de cumul de fonctions et faiblesse du contrôle interne trésorerie* (source : entité) : avec un effectif de quatre personnes, la séparation des tâches est structurellement insuffisante. Cette faiblesse amplifie tous les autres risques identifiés et justifie une orientation résolument substantive de nos travaux, sans possibilité de nous appuyer sur les contrôles internes. Les assertions d'existence et d'exhaustivité sont concernées.</w:t>
        <w:br/>
        <w:br/>
        <w:t>— *Absence de dirigeants renseignés — gouvernance et autorisation des flux* (source : entité) : l'impossibilité de vérifier les pouvoirs de signature bancaire et les habilitations sur les comptes accroît le risque d'opérations non autorisées ou non tracées. Les assertions de droits et d'existence sont visées.</w:t>
        <w:br/>
        <w:br/>
        <w:t>**Risques de niveau moyen :**</w:t>
        <w:br/>
        <w:br/>
        <w:t>— *Présentation et classification des flux de trésorerie dans les états financiers* (source : IA) : la nature de l'excédent constaté pourrait conduire à une présentation inexacte des disponibilités, notamment si des sommes à reclasser sont maintenues en compte courant. Les assertions de présentation et d'évaluation sont concernées.</w:t>
        <w:br/>
        <w:br/>
        <w:t>— *Évaluation des disponibilités en devises étrangères* (source : risque inhérent) : dans le contexte d'une clientèle potentiellement domiciliée à Djibouti, des soldes en devises pourraient ne pas être convertis au cours de clôture. Les assertions d'évaluation et de présentation sont visées.</w:t>
        <w:br/>
        <w:br/>
        <w:t>— *Risque de comptes bancaires non déclarés ou non comptabilisés* (source : IA) : la complexité des flux sur le compte principal et la faiblesse du dispositif de contrôle interne accroissent le risque qu'un ou plusieurs comptes bancaires secondaires n'aient pas été intégrés dans les états financiers. Les assertions d'exhaustivité et d'existence sont concernées.</w:t>
        <w:br/>
        <w:br/>
        <w:t>La concentration de risques élevés sur les assertions d'existence et d'exhaustivité du cycle trésorerie justifie une approche entièrement substantive, sans réduction du niveau de travaux liée à une quelconque confiance dans les contrôles internes, ceux-ci étant présumés insuffisants au stade de la planification.</w:t>
      </w:r>
    </w:p>
    <w:p>
      <w:pPr>
        <w:pStyle w:val="Heading2"/>
      </w:pPr>
      <w:r>
        <w:t>4.1 Base de calcul et paramètres retenus</w:t>
      </w:r>
    </w:p>
    <w:p>
      <w:r>
        <w:rPr>
          <w:b/>
          <w:sz w:val="22"/>
        </w:rPr>
        <w:t xml:space="preserve">Agrégat retenu : </w:t>
      </w:r>
      <w:r>
        <w:rPr>
          <w:sz w:val="22"/>
        </w:rPr>
        <w:t>total_bilan</w:t>
      </w:r>
      <w:r>
        <w:br/>
      </w:r>
      <w:r>
        <w:rPr>
          <w:b/>
          <w:sz w:val="22"/>
        </w:rPr>
        <w:t xml:space="preserve">Valeur de l'agrégat : </w:t>
      </w:r>
      <w:r>
        <w:rPr>
          <w:sz w:val="22"/>
        </w:rPr>
        <w:t>93,500,000 FDJ</w:t>
      </w:r>
      <w:r>
        <w:br/>
      </w:r>
      <w:r>
        <w:rPr>
          <w:b/>
          <w:sz w:val="22"/>
        </w:rPr>
        <w:t xml:space="preserve">Taux de signification : </w:t>
      </w:r>
      <w:r>
        <w:rPr>
          <w:sz w:val="22"/>
        </w:rPr>
        <w:t>0.01 %</w:t>
      </w:r>
      <w:r>
        <w:br/>
      </w:r>
      <w:r>
        <w:rPr>
          <w:b/>
          <w:sz w:val="22"/>
        </w:rPr>
        <w:t xml:space="preserve">Taux de planification : </w:t>
      </w:r>
      <w:r>
        <w:rPr>
          <w:sz w:val="22"/>
        </w:rPr>
        <w:t>0.75 %</w:t>
      </w:r>
      <w:r>
        <w:br/>
      </w:r>
      <w:r>
        <w:rPr>
          <w:b/>
          <w:sz w:val="22"/>
        </w:rPr>
        <w:t xml:space="preserve">Seuil de signification : </w:t>
      </w:r>
      <w:r>
        <w:rPr>
          <w:sz w:val="22"/>
        </w:rPr>
        <w:t>935,000 FDJ</w:t>
      </w:r>
      <w:r>
        <w:br/>
      </w:r>
      <w:r>
        <w:rPr>
          <w:b/>
          <w:sz w:val="22"/>
        </w:rPr>
        <w:t xml:space="preserve">Seuil de planification : </w:t>
      </w:r>
      <w:r>
        <w:rPr>
          <w:sz w:val="22"/>
        </w:rPr>
        <w:t>701,250 FDJ</w:t>
      </w:r>
      <w:r>
        <w:br/>
      </w:r>
    </w:p>
    <w:p>
      <w:pPr>
        <w:pStyle w:val="Heading2"/>
      </w:pPr>
      <w:r>
        <w:t>4.2 Justification du seuil retenu</w:t>
      </w:r>
    </w:p>
    <w:p>
      <w:r>
        <w:rPr>
          <w:b w:val="0"/>
          <w:i w:val="0"/>
          <w:sz w:val="22"/>
        </w:rPr>
        <w:t>Le seuil de signification de 935,000 FDJ (0.01 % de total_bilan) est celui en deçà duquel une anomalie est considérée comme non significative et n'affecte pas l'opinion d'audit. Le seuil de planification de 701,250 FDJ (0.75 %) est appliqué pour les tests de détail afin de conserver une marge de sécurité permettant d'absorber les anomalies non détectées. Ces paramètres sont conformes aux pratiques professionnelles et aux exigences de la NEP 320.</w:t>
      </w:r>
    </w:p>
    <w:p>
      <w:r>
        <w:br w:type="page"/>
      </w:r>
    </w:p>
    <w:p>
      <w:pPr>
        <w:pStyle w:val="Heading1"/>
      </w:pPr>
      <w:r>
        <w:rPr>
          <w:color w:val="4F46E5"/>
        </w:rPr>
        <w:t>5. Cartographie des risques (NEP 315)</w:t>
      </w:r>
    </w:p>
    <w:p>
      <w:r>
        <w:rPr>
          <w:b w:val="0"/>
          <w:i w:val="0"/>
          <w:sz w:val="22"/>
        </w:rPr>
        <w:t>8 risque(s) identifié(s) et validé(s) pour cette mission.</w:t>
      </w:r>
    </w:p>
    <w:p>
      <w:r>
        <w:rPr>
          <w:b w:val="0"/>
          <w:i w:val="0"/>
          <w:sz w:val="22"/>
        </w:rPr>
        <w:t>Dont : 5 élevé(s), 3 moyen(s), 0 faible(s).</w:t>
      </w:r>
    </w:p>
    <w:p/>
    <w:p>
      <w:pPr>
        <w:pStyle w:val="Heading2"/>
      </w:pPr>
      <w:r>
        <w:t>Cycle : Tresorerie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Solde bancaire anormalement élevé — compte 512 BCI CC n°4521</w:t>
            </w:r>
          </w:p>
        </w:tc>
        <w:tc>
          <w:tcPr>
            <w:tcW w:type="dxa" w:w="1881"/>
          </w:tcPr>
          <w:p>
            <w:r>
              <w:t>ÉLEVÉ</w:t>
            </w:r>
          </w:p>
        </w:tc>
        <w:tc>
          <w:tcPr>
            <w:tcW w:type="dxa" w:w="1881"/>
          </w:tcPr>
          <w:p>
            <w:r>
              <w:t>IA</w:t>
            </w:r>
          </w:p>
        </w:tc>
        <w:tc>
          <w:tcPr>
            <w:tcW w:type="dxa" w:w="1881"/>
          </w:tcPr>
          <w:p>
            <w:r>
              <w:t>existence, exhaustivite</w:t>
            </w:r>
          </w:p>
        </w:tc>
        <w:tc>
          <w:tcPr>
            <w:tcW w:type="dxa" w:w="1881"/>
          </w:tcPr>
          <w:p>
            <w:r/>
          </w:p>
        </w:tc>
      </w:tr>
      <w:tr>
        <w:tc>
          <w:tcPr>
            <w:tcW w:type="dxa" w:w="1881"/>
          </w:tcPr>
          <w:p>
            <w:r>
              <w:t>Absence de rapprochement bancaire formalisé en fin de période</w:t>
            </w:r>
          </w:p>
        </w:tc>
        <w:tc>
          <w:tcPr>
            <w:tcW w:type="dxa" w:w="1881"/>
          </w:tcPr>
          <w:p>
            <w:r>
              <w:t>ÉLEVÉ</w:t>
            </w:r>
          </w:p>
        </w:tc>
        <w:tc>
          <w:tcPr>
            <w:tcW w:type="dxa" w:w="1881"/>
          </w:tcPr>
          <w:p>
            <w:r>
              <w:t>IA</w:t>
            </w:r>
          </w:p>
        </w:tc>
        <w:tc>
          <w:tcPr>
            <w:tcW w:type="dxa" w:w="1881"/>
          </w:tcPr>
          <w:p>
            <w:r>
              <w:t>exhaustivite, existence</w:t>
            </w:r>
          </w:p>
        </w:tc>
        <w:tc>
          <w:tcPr>
            <w:tcW w:type="dxa" w:w="1881"/>
          </w:tcPr>
          <w:p>
            <w:r/>
          </w:p>
        </w:tc>
      </w:tr>
      <w:tr>
        <w:tc>
          <w:tcPr>
            <w:tcW w:type="dxa" w:w="1881"/>
          </w:tcPr>
          <w:p>
            <w:r>
              <w:t>Risque de cut-off sur les encaissements et décaissements de fin d'exercice</w:t>
            </w:r>
          </w:p>
        </w:tc>
        <w:tc>
          <w:tcPr>
            <w:tcW w:type="dxa" w:w="1881"/>
          </w:tcPr>
          <w:p>
            <w:r>
              <w:t>ÉLEVÉ</w:t>
            </w:r>
          </w:p>
        </w:tc>
        <w:tc>
          <w:tcPr>
            <w:tcW w:type="dxa" w:w="1881"/>
          </w:tcPr>
          <w:p>
            <w:r>
              <w:t>IA</w:t>
            </w:r>
          </w:p>
        </w:tc>
        <w:tc>
          <w:tcPr>
            <w:tcW w:type="dxa" w:w="1881"/>
          </w:tcPr>
          <w:p>
            <w:r>
              <w:t>cut_off, exhaustivite</w:t>
            </w:r>
          </w:p>
        </w:tc>
        <w:tc>
          <w:tcPr>
            <w:tcW w:type="dxa" w:w="1881"/>
          </w:tcPr>
          <w:p>
            <w:r/>
          </w:p>
        </w:tc>
      </w:tr>
      <w:tr>
        <w:tc>
          <w:tcPr>
            <w:tcW w:type="dxa" w:w="1881"/>
          </w:tcPr>
          <w:p>
            <w:r>
              <w:t>Risque de cumul de fonctions et faiblesse du contrôle interne trésorerie</w:t>
            </w:r>
          </w:p>
        </w:tc>
        <w:tc>
          <w:tcPr>
            <w:tcW w:type="dxa" w:w="1881"/>
          </w:tcPr>
          <w:p>
            <w:r>
              <w:t>ÉLEVÉ</w:t>
            </w:r>
          </w:p>
        </w:tc>
        <w:tc>
          <w:tcPr>
            <w:tcW w:type="dxa" w:w="1881"/>
          </w:tcPr>
          <w:p>
            <w:r>
              <w:t>IA</w:t>
            </w:r>
          </w:p>
        </w:tc>
        <w:tc>
          <w:tcPr>
            <w:tcW w:type="dxa" w:w="1881"/>
          </w:tcPr>
          <w:p>
            <w:r>
              <w:t>existence, exhaustivite</w:t>
            </w:r>
          </w:p>
        </w:tc>
        <w:tc>
          <w:tcPr>
            <w:tcW w:type="dxa" w:w="1881"/>
          </w:tcPr>
          <w:p>
            <w:r/>
          </w:p>
        </w:tc>
      </w:tr>
      <w:tr>
        <w:tc>
          <w:tcPr>
            <w:tcW w:type="dxa" w:w="1881"/>
          </w:tcPr>
          <w:p>
            <w:r>
              <w:t>Absence de dirigeants renseignés — gouvernance et autorisation des flux</w:t>
            </w:r>
          </w:p>
        </w:tc>
        <w:tc>
          <w:tcPr>
            <w:tcW w:type="dxa" w:w="1881"/>
          </w:tcPr>
          <w:p>
            <w:r>
              <w:t>ÉLEVÉ</w:t>
            </w:r>
          </w:p>
        </w:tc>
        <w:tc>
          <w:tcPr>
            <w:tcW w:type="dxa" w:w="1881"/>
          </w:tcPr>
          <w:p>
            <w:r>
              <w:t>IA</w:t>
            </w:r>
          </w:p>
        </w:tc>
        <w:tc>
          <w:tcPr>
            <w:tcW w:type="dxa" w:w="1881"/>
          </w:tcPr>
          <w:p>
            <w:r>
              <w:t>droits, existence</w:t>
            </w:r>
          </w:p>
        </w:tc>
        <w:tc>
          <w:tcPr>
            <w:tcW w:type="dxa" w:w="1881"/>
          </w:tcPr>
          <w:p>
            <w:r/>
          </w:p>
        </w:tc>
      </w:tr>
      <w:tr>
        <w:tc>
          <w:tcPr>
            <w:tcW w:type="dxa" w:w="1881"/>
          </w:tcPr>
          <w:p>
            <w:r>
              <w:t>Présentation et classification des flux de trésorerie dans les états financiers</w:t>
            </w:r>
          </w:p>
        </w:tc>
        <w:tc>
          <w:tcPr>
            <w:tcW w:type="dxa" w:w="1881"/>
          </w:tcPr>
          <w:p>
            <w:r>
              <w:t>MOYEN</w:t>
            </w:r>
          </w:p>
        </w:tc>
        <w:tc>
          <w:tcPr>
            <w:tcW w:type="dxa" w:w="1881"/>
          </w:tcPr>
          <w:p>
            <w:r>
              <w:t>IA</w:t>
            </w:r>
          </w:p>
        </w:tc>
        <w:tc>
          <w:tcPr>
            <w:tcW w:type="dxa" w:w="1881"/>
          </w:tcPr>
          <w:p>
            <w:r>
              <w:t>presentation, evaluation</w:t>
            </w:r>
          </w:p>
        </w:tc>
        <w:tc>
          <w:tcPr>
            <w:tcW w:type="dxa" w:w="1881"/>
          </w:tcPr>
          <w:p>
            <w:r/>
          </w:p>
        </w:tc>
      </w:tr>
      <w:tr>
        <w:tc>
          <w:tcPr>
            <w:tcW w:type="dxa" w:w="1881"/>
          </w:tcPr>
          <w:p>
            <w:r>
              <w:t>Évaluation des disponibilités en devises étrangères</w:t>
            </w:r>
          </w:p>
        </w:tc>
        <w:tc>
          <w:tcPr>
            <w:tcW w:type="dxa" w:w="1881"/>
          </w:tcPr>
          <w:p>
            <w:r>
              <w:t>MOYEN</w:t>
            </w:r>
          </w:p>
        </w:tc>
        <w:tc>
          <w:tcPr>
            <w:tcW w:type="dxa" w:w="1881"/>
          </w:tcPr>
          <w:p>
            <w:r>
              <w:t>IA</w:t>
            </w:r>
          </w:p>
        </w:tc>
        <w:tc>
          <w:tcPr>
            <w:tcW w:type="dxa" w:w="1881"/>
          </w:tcPr>
          <w:p>
            <w:r>
              <w:t>evaluation, presentation</w:t>
            </w:r>
          </w:p>
        </w:tc>
        <w:tc>
          <w:tcPr>
            <w:tcW w:type="dxa" w:w="1881"/>
          </w:tcPr>
          <w:p>
            <w:r/>
          </w:p>
        </w:tc>
      </w:tr>
      <w:tr>
        <w:tc>
          <w:tcPr>
            <w:tcW w:type="dxa" w:w="1881"/>
          </w:tcPr>
          <w:p>
            <w:r>
              <w:t>Risque de comptes bancaires non déclarés ou non comptabilisés</w:t>
            </w:r>
          </w:p>
        </w:tc>
        <w:tc>
          <w:tcPr>
            <w:tcW w:type="dxa" w:w="1881"/>
          </w:tcPr>
          <w:p>
            <w:r>
              <w:t>MOYEN</w:t>
            </w:r>
          </w:p>
        </w:tc>
        <w:tc>
          <w:tcPr>
            <w:tcW w:type="dxa" w:w="1881"/>
          </w:tcPr>
          <w:p>
            <w:r>
              <w:t>IA</w:t>
            </w:r>
          </w:p>
        </w:tc>
        <w:tc>
          <w:tcPr>
            <w:tcW w:type="dxa" w:w="1881"/>
          </w:tcPr>
          <w:p>
            <w:r>
              <w:t>exhaustivite, existence</w:t>
            </w:r>
          </w:p>
        </w:tc>
        <w:tc>
          <w:tcPr>
            <w:tcW w:type="dxa" w:w="1881"/>
          </w:tcPr>
          <w:p>
            <w:r/>
          </w:p>
        </w:tc>
      </w:tr>
    </w:tbl>
    <w:p/>
    <w:p>
      <w:r>
        <w:br w:type="page"/>
      </w:r>
    </w:p>
    <w:p>
      <w:pPr>
        <w:pStyle w:val="Heading1"/>
      </w:pPr>
      <w:r>
        <w:rPr>
          <w:color w:val="4F46E5"/>
        </w:rPr>
        <w:t>6. Programme de travail (NEP 300 / NEP 330)</w:t>
      </w:r>
    </w:p>
    <w:p>
      <w:r>
        <w:rPr>
          <w:b w:val="0"/>
          <w:i w:val="0"/>
          <w:sz w:val="22"/>
        </w:rPr>
        <w:t>Le programme de travail retenu comporte huit contrôles, tous classés en priorité haute, exclusivement orientés vers le cycle trésorerie. Ce choix résulte directement de la concentration des risques élevés sur ce cycle et de l'impossibilité de nous appuyer sur des contrôles internes dont l'effectivité ne peut être présumée. L'approche est entièrement substantive.</w:t>
        <w:br/>
        <w:br/>
        <w:t>**Logique de séquencement :**</w:t>
        <w:br/>
        <w:br/>
        <w:t>Nous avons organisé les travaux selon une progression allant des vérifications d'intégrité comptable vers les confirmations externes, puis vers les analyses de détection de signaux d'anomalie.</w:t>
        <w:br/>
        <w:br/>
        <w:t>*Phase 1 — Intégrité de la balance et du grand livre :*</w:t>
        <w:br/>
        <w:t>Les contrôles TRESOR-BAL-EQUIL (équilibre de la balance) et TRESOR-GL-COHER (cohérence grand livre / balance) constituent le point d'entrée logique. Avant toute investigation sur les soldes, nous devons nous assurer que les données comptables sur lesquelles nous travaillons sont arithmétiquement fiables et cohérentes. Ces deux contrôles répondent au risque de solde bancaire anormalement élevé et au risque d'absence de rapprochement bancaire formalisé.</w:t>
        <w:br/>
        <w:br/>
        <w:t>*Phase 2 — Analyse des variations et détection des écarts :*</w:t>
        <w:br/>
        <w:t>Le contrôle TRESOR-VARIATION (variations N/N-1 trésorerie) permet de documenter formellement la variation du compte 512 et d'orienter les investigations complémentaires sur son origine. Ce travail analytique ciblé est indissociable du risque principal identifié et constitue le fondement documentaire de toute conclusion sur ce solde.</w:t>
        <w:br/>
        <w:br/>
        <w:t>*Phase 3 — Contrôle substantif central — confirmation bancaire et rapprochement :*</w:t>
        <w:br/>
        <w:t>Le contrôle TRESOR-RAPPROCH est le cœur du dispositif. Il consiste à obtenir ou reconstituer le rapprochement bancaire au 31 décembre 2026 et à le confirmer directement auprès de la BCI par voie de confirmation externe (NEP 505). Ce contrôle est le seul qui permette de valider simultanément l'existence et l'exhaustivité du solde bancaire avec une assurance suffisante, indépendamment des déclarations de l'entité. Il répond directement au risque élevé d'absence de rapprochement formalisé. La confirmation multi-établissements envisagée dans ce cadre permettra également d'adresser le risque de comptes bancaires non déclarés.</w:t>
        <w:br/>
        <w:br/>
        <w:t>*Phase 4 — Exhaustivité des comptes bancaires :*</w:t>
        <w:br/>
        <w:t>Le contrôle TRESOR-SOLDE-ANORMAL (soldes créditeurs anormaux) complète la phase de confirmation en recherchant tout solde créditeur sur un compte de trésorerie actif, signal potentiel d'un compte non déclaré ou d'une compensation irrégulière. Ce contrôle répond directement au risque d'exhaustivité des disponibilités.</w:t>
        <w:br/>
        <w:br/>
        <w:t>*Phase 5 — Détection de signaux de fraude ou d'irrégularités :*</w:t>
        <w:br/>
        <w:t>Deux contrôles analytiques spécifiques viennent renforcer le dispositif face aux faiblesses de gouvernance identifiées. Le contrôle TRESOR-SEQ-PIECES (continuité des séquences de pièces) permet de détecter des ruptures révélatrices d'opérations non tracées, particulièrement pertinent dans un contexte de cumul de fonctions avéré. Le contrôle TRESOR-ROUND (concentration de montants ronds) s'inscrit dans la même logique : dans un environnement de faible séparation des tâches, la concentration d'écritures à montants ronds constitue un signal d'alerte sur des opérations potentiellement fictives ou non autorisées.</w:t>
        <w:br/>
        <w:br/>
        <w:t>*Phase 6 — Cut-off :*</w:t>
        <w:br/>
        <w:t>Le contrôle TRESOR-CUT-OFF (concentration d'écritures en fin d'exercice) clôt le programme en adressant spécifiquement le risque de rattachement incorrect des flux à l'exercice. L'analyse des écritures sur les derniers et premiers jours de la période permet d'identifier les virements en transit et chèques non débités susceptibles d'affecter la présentation des disponibilités.</w:t>
        <w:br/>
        <w:br/>
        <w:t>**Pourquoi ce plan et pas un autre ?**</w:t>
        <w:br/>
        <w:br/>
        <w:t>Un programme alternatif aurait pu privilégier des tests de procédures sur le contrôle interne trésorerie. Nous avons écarté cette approche pour deux raisons déterminantes : d'une part, la faiblesse structurelle présumée du contrôle interne (effectif réduit, cumul de fonctions probable, absence de dirigeant identifié) rend illusoire toute réduction du risque de détection fondée sur des contrôles internes ; d'autre part, l'anomalie explicitement identifiée sur le compte 512 — 6 500 000 sans justification — impose une réponse d'audit directe et proportionnée, centrée sur la confirmation externe et le rapprochement exhaustif. Tout allègement du programme aurait été incompatible avec le niveau de risque constaté et avec notre obligation professionnelle d'obtenir des éléments probants suffisants et appropriés.</w:t>
      </w:r>
    </w:p>
    <w:p>
      <w:r>
        <w:rPr>
          <w:b w:val="0"/>
          <w:i w:val="0"/>
          <w:sz w:val="22"/>
        </w:rPr>
        <w:t>8 contrôle(s) inclus dans le programme sur 8 planifiés. 0 contrôle(s) exclu(s) sur la base du niveau de risque et du seuil de signification.</w:t>
      </w:r>
    </w:p>
    <w:p>
      <w:pPr>
        <w:pStyle w:val="Heading2"/>
      </w:pPr>
      <w:r>
        <w:t>Cycle : Tresorerie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Réf. contrôle</w:t>
            </w:r>
          </w:p>
        </w:tc>
        <w:tc>
          <w:tcPr>
            <w:tcW w:type="dxa" w:w="2351"/>
          </w:tcPr>
          <w:p>
            <w:r>
              <w:rPr>
                <w:b/>
              </w:rPr>
              <w:t>Libellé</w:t>
            </w:r>
          </w:p>
        </w:tc>
        <w:tc>
          <w:tcPr>
            <w:tcW w:type="dxa" w:w="2351"/>
          </w:tcPr>
          <w:p>
            <w:r>
              <w:rPr>
                <w:b/>
              </w:rPr>
              <w:t>Priorité</w:t>
            </w:r>
          </w:p>
        </w:tc>
        <w:tc>
          <w:tcPr>
            <w:tcW w:type="dxa" w:w="2351"/>
          </w:tcPr>
          <w:p>
            <w:r>
              <w:rPr>
                <w:b/>
              </w:rPr>
              <w:t>Notes</w:t>
            </w:r>
          </w:p>
        </w:tc>
      </w:tr>
      <w:tr>
        <w:tc>
          <w:tcPr>
            <w:tcW w:type="dxa" w:w="2351"/>
          </w:tcPr>
          <w:p>
            <w:r>
              <w:t>TRESOR-BAL-EQUIL</w:t>
            </w:r>
          </w:p>
        </w:tc>
        <w:tc>
          <w:tcPr>
            <w:tcW w:type="dxa" w:w="2351"/>
          </w:tcPr>
          <w:p>
            <w:r>
              <w:t>Équilibre de la balance</w:t>
            </w:r>
          </w:p>
        </w:tc>
        <w:tc>
          <w:tcPr>
            <w:tcW w:type="dxa" w:w="2351"/>
          </w:tcPr>
          <w:p>
            <w:r>
              <w:t>haute</w:t>
            </w:r>
          </w:p>
        </w:tc>
        <w:tc>
          <w:tcPr>
            <w:tcW w:type="dxa" w:w="2351"/>
          </w:tcPr>
          <w:p>
            <w:r>
              <w:t>Vérifier l'équilibre de la balance trésorerie pour détecter toute anomalie arith</w:t>
            </w:r>
          </w:p>
        </w:tc>
      </w:tr>
      <w:tr>
        <w:tc>
          <w:tcPr>
            <w:tcW w:type="dxa" w:w="2351"/>
          </w:tcPr>
          <w:p>
            <w:r>
              <w:t>TRESOR-GL-COHER</w:t>
            </w:r>
          </w:p>
        </w:tc>
        <w:tc>
          <w:tcPr>
            <w:tcW w:type="dxa" w:w="2351"/>
          </w:tcPr>
          <w:p>
            <w:r>
              <w:t>Cohérence grand livre / balance</w:t>
            </w:r>
          </w:p>
        </w:tc>
        <w:tc>
          <w:tcPr>
            <w:tcW w:type="dxa" w:w="2351"/>
          </w:tcPr>
          <w:p>
            <w:r>
              <w:t>haute</w:t>
            </w:r>
          </w:p>
        </w:tc>
        <w:tc>
          <w:tcPr>
            <w:tcW w:type="dxa" w:w="2351"/>
          </w:tcPr>
          <w:p>
            <w:r>
              <w:t>En l'absence de rapprochement bancaire formalisé, la cohérence entre le grand li</w:t>
            </w:r>
          </w:p>
        </w:tc>
      </w:tr>
      <w:tr>
        <w:tc>
          <w:tcPr>
            <w:tcW w:type="dxa" w:w="2351"/>
          </w:tcPr>
          <w:p>
            <w:r>
              <w:t>TRESOR-SEQ-PIECES</w:t>
            </w:r>
          </w:p>
        </w:tc>
        <w:tc>
          <w:tcPr>
            <w:tcW w:type="dxa" w:w="2351"/>
          </w:tcPr>
          <w:p>
            <w:r>
              <w:t>Continuité des séquences de pièces</w:t>
            </w:r>
          </w:p>
        </w:tc>
        <w:tc>
          <w:tcPr>
            <w:tcW w:type="dxa" w:w="2351"/>
          </w:tcPr>
          <w:p>
            <w:r>
              <w:t>haute</w:t>
            </w:r>
          </w:p>
        </w:tc>
        <w:tc>
          <w:tcPr>
            <w:tcW w:type="dxa" w:w="2351"/>
          </w:tcPr>
          <w:p>
            <w:r>
              <w:t xml:space="preserve">Le cumul de fonctions renforce le risque d'omission ou de suppression de pièces </w:t>
            </w:r>
          </w:p>
        </w:tc>
      </w:tr>
      <w:tr>
        <w:tc>
          <w:tcPr>
            <w:tcW w:type="dxa" w:w="2351"/>
          </w:tcPr>
          <w:p>
            <w:r>
              <w:t>TRESOR-VARIATION</w:t>
            </w:r>
          </w:p>
        </w:tc>
        <w:tc>
          <w:tcPr>
            <w:tcW w:type="dxa" w:w="2351"/>
          </w:tcPr>
          <w:p>
            <w:r>
              <w:t>Variations N/N-1 trésorerie</w:t>
            </w:r>
          </w:p>
        </w:tc>
        <w:tc>
          <w:tcPr>
            <w:tcW w:type="dxa" w:w="2351"/>
          </w:tcPr>
          <w:p>
            <w:r>
              <w:t>haute</w:t>
            </w:r>
          </w:p>
        </w:tc>
        <w:tc>
          <w:tcPr>
            <w:tcW w:type="dxa" w:w="2351"/>
          </w:tcPr>
          <w:p>
            <w:r>
              <w:t>L'analyse comparative N/N-1 permet de quantifier et de documenter la variation s</w:t>
            </w:r>
          </w:p>
        </w:tc>
      </w:tr>
      <w:tr>
        <w:tc>
          <w:tcPr>
            <w:tcW w:type="dxa" w:w="2351"/>
          </w:tcPr>
          <w:p>
            <w:r>
              <w:t>TRESOR-RAPPROCH</w:t>
            </w:r>
          </w:p>
        </w:tc>
        <w:tc>
          <w:tcPr>
            <w:tcW w:type="dxa" w:w="2351"/>
          </w:tcPr>
          <w:p>
            <w:r>
              <w:t>Rapprochement bancaire</w:t>
            </w:r>
          </w:p>
        </w:tc>
        <w:tc>
          <w:tcPr>
            <w:tcW w:type="dxa" w:w="2351"/>
          </w:tcPr>
          <w:p>
            <w:r>
              <w:t>haute</w:t>
            </w:r>
          </w:p>
        </w:tc>
        <w:tc>
          <w:tcPr>
            <w:tcW w:type="dxa" w:w="2351"/>
          </w:tcPr>
          <w:p>
            <w:r>
              <w:t xml:space="preserve">Contrôle substantif central du cycle : obtenir ou reconstituer le rapprochement </w:t>
            </w:r>
          </w:p>
        </w:tc>
      </w:tr>
      <w:tr>
        <w:tc>
          <w:tcPr>
            <w:tcW w:type="dxa" w:w="2351"/>
          </w:tcPr>
          <w:p>
            <w:r>
              <w:t>TRESOR-SOLDE-ANORMAL</w:t>
            </w:r>
          </w:p>
        </w:tc>
        <w:tc>
          <w:tcPr>
            <w:tcW w:type="dxa" w:w="2351"/>
          </w:tcPr>
          <w:p>
            <w:r>
              <w:t>Soldes créditeurs anormaux — Trésorerie</w:t>
            </w:r>
          </w:p>
        </w:tc>
        <w:tc>
          <w:tcPr>
            <w:tcW w:type="dxa" w:w="2351"/>
          </w:tcPr>
          <w:p>
            <w:r>
              <w:t>haute</w:t>
            </w:r>
          </w:p>
        </w:tc>
        <w:tc>
          <w:tcPr>
            <w:tcW w:type="dxa" w:w="2351"/>
          </w:tcPr>
          <w:p>
            <w:r>
              <w:t>Identifier tout solde créditeur sur un compte de trésorerie actif, ce qui pourra</w:t>
            </w:r>
          </w:p>
        </w:tc>
      </w:tr>
      <w:tr>
        <w:tc>
          <w:tcPr>
            <w:tcW w:type="dxa" w:w="2351"/>
          </w:tcPr>
          <w:p>
            <w:r>
              <w:t>TRESOR-ROUND</w:t>
            </w:r>
          </w:p>
        </w:tc>
        <w:tc>
          <w:tcPr>
            <w:tcW w:type="dxa" w:w="2351"/>
          </w:tcPr>
          <w:p>
            <w:r>
              <w:t>Concentration de montants ronds — Trésorerie</w:t>
            </w:r>
          </w:p>
        </w:tc>
        <w:tc>
          <w:tcPr>
            <w:tcW w:type="dxa" w:w="2351"/>
          </w:tcPr>
          <w:p>
            <w:r>
              <w:t>haute</w:t>
            </w:r>
          </w:p>
        </w:tc>
        <w:tc>
          <w:tcPr>
            <w:tcW w:type="dxa" w:w="2351"/>
          </w:tcPr>
          <w:p>
            <w:r>
              <w:t xml:space="preserve">Dans un contexte de faible séparation des tâches, la concentration de virements </w:t>
            </w:r>
          </w:p>
        </w:tc>
      </w:tr>
      <w:tr>
        <w:tc>
          <w:tcPr>
            <w:tcW w:type="dxa" w:w="2351"/>
          </w:tcPr>
          <w:p>
            <w:r>
              <w:t>TRESOR-CUT-OFF</w:t>
            </w:r>
          </w:p>
        </w:tc>
        <w:tc>
          <w:tcPr>
            <w:tcW w:type="dxa" w:w="2351"/>
          </w:tcPr>
          <w:p>
            <w:r>
              <w:t>Concentration d'écritures en fin d'exercice — Trésorerie</w:t>
            </w:r>
          </w:p>
        </w:tc>
        <w:tc>
          <w:tcPr>
            <w:tcW w:type="dxa" w:w="2351"/>
          </w:tcPr>
          <w:p>
            <w:r>
              <w:t>haute</w:t>
            </w:r>
          </w:p>
        </w:tc>
        <w:tc>
          <w:tcPr>
            <w:tcW w:type="dxa" w:w="2351"/>
          </w:tcPr>
          <w:p>
            <w:r>
              <w:t>Analyser la concentration des écritures sur les derniers et premiers jours de l'</w:t>
            </w:r>
          </w:p>
        </w:tc>
      </w:tr>
    </w:tbl>
    <w:p/>
    <w:p>
      <w:r>
        <w:br w:type="page"/>
      </w:r>
    </w:p>
    <w:p>
      <w:pPr>
        <w:pStyle w:val="Heading1"/>
      </w:pPr>
      <w:r>
        <w:rPr>
          <w:color w:val="4F46E5"/>
        </w:rPr>
        <w:t>7. Synthèse et conclusion</w:t>
      </w:r>
    </w:p>
    <w:p>
      <w:r>
        <w:rPr>
          <w:b/>
          <w:i w:val="0"/>
          <w:sz w:val="22"/>
        </w:rPr>
        <w:t>Note de synthèse de planification — IYYIU — Exercice 2026</w:t>
      </w:r>
    </w:p>
    <w:p/>
    <w:p>
      <w:pPr>
        <w:pStyle w:val="Heading2"/>
      </w:pPr>
      <w:r>
        <w:t>1. Connaissance de l'entité</w:t>
      </w:r>
    </w:p>
    <w:p>
      <w:r>
        <w:rPr>
          <w:b w:val="0"/>
          <w:i w:val="0"/>
          <w:sz w:val="22"/>
        </w:rPr>
        <w:t>IYYIU est une société à responsabilité limitée (SARL) dont l'activité principale est la vente de véhicules, opérant sur un marché local. L'entité dispose d'un système d'information de type ERP, ce qui constitue un environnement de contrôle formalisé sur le plan technique, bien que la fiabilité des paramétrages et des droits d'accès n'ait pas encore été évaluée à ce stade.</w:t>
        <w:br/>
        <w:br/>
        <w:t>La mission confiée est de nature contractuelle et porte sur l'exercice clos au 31 décembre 2026. Le périmètre retenu couvre le cycle trésorerie, qui concentre, comme nous le verrons, l'essentiel des zones de risque identifiées lors de la phase de planification.</w:t>
        <w:br/>
        <w:br/>
        <w:t>Plusieurs éléments structurels de l'entité renforcent le niveau de risque inhérent sur ce cycle. En premier lieu, la taille de la structure — caractérisée par un effectif limité à quatre salariés — rend très improbable l'existence d'une séparation des tâches effective sur les opérations de trésorerie. Il est vraisemblable qu'un même collaborateur assure à la fois la saisie des écritures, la validation des flux et le suivi des comptes bancaires, sans contrôle indépendant. En second lieu, la fiche entité ne mentionne aucun dirigeant identifié, ce qui nous prive d'une information essentielle pour vérifier les pouvoirs de signature bancaire, les habilitations accordées sur les comptes et la traçabilité des décisions d'autorisation des flux financiers. Enfin, la localisation géographique de la clientèle — potentiellement domiciliée à Djibouti — introduit un facteur de risque supplémentaire quant à la possibilité que des soldes bancaires soient libellés en devises étrangères et, le cas échéant, incorrectement évalués au cours de clôture.</w:t>
        <w:br/>
        <w:br/>
        <w:t>Aucun facteur de risque inhérent formel n'a été documenté à ce stade dans la fiche entité, ce qui ne signifie pas l'absence de risques mais appelle une vigilance accrue lors des travaux de terrain, notamment pour compenser le déficit d'information sur la gouvernance.</w:t>
      </w:r>
    </w:p>
    <w:p>
      <w:pPr>
        <w:pStyle w:val="Heading2"/>
      </w:pPr>
      <w:r>
        <w:t>2. Résultats des procédures analytiques</w:t>
      </w:r>
    </w:p>
    <w:p>
      <w:r>
        <w:rPr>
          <w:b w:val="0"/>
          <w:i w:val="0"/>
          <w:sz w:val="22"/>
        </w:rPr>
        <w:t>Nous avons procédé à une analyse comparative N/N-1 de la balance générale de l'exercice 2026. Sur les onze comptes présentant des variations significatives, plusieurs appellent une attention particulière dans le cadre du cycle audité.</w:t>
        <w:br/>
        <w:br/>
        <w:t>La variation la plus préoccupante concerne le compte 512 — Banque BCI, CC n°4521. Son solde progresse de 45,83 %, soit une variation de 11 000 000, dont 6 500 000 demeurent sans justification selon le moteur d'analyse. Cette anomalie explicitement signalée constitue une alerte de premier ordre : elle met directement en cause la fiabilité du solde de trésorerie présenté au bilan et impose une investigation approfondie portant sur l'existence et l'exhaustivité de ce solde. À ce stade, nous ne pouvons exclure une écriture fictive, une double comptabilisation ou un virement non identifié.</w:t>
        <w:br/>
        <w:br/>
        <w:t>En dehors du cycle trésorerie stricto sensu, d'autres variations méritent d'être signalées pour leur potentielle interaction avec les flux financiers. La progression de 53,85 % du compte 706 — Prestations de services est disproportionnée au regard du secteur déclaré (vente de véhicules), et soulève un risque de mauvaise classification de produits ou de reconnaissance anticipée de chiffre d'affaires. L'augmentation du capital social (+25 %) et des réserves légales (+75 %) suggère une opération sur capitaux propres dont la régularité et la documentation devront être vérifiées. La dégradation simultanée des créances clients (+23,33 %) et des clients douteux (+33,33 %) indique un risque de sous-provisionnement. Enfin, le décalage entre la hausse des achats de matières premières (+22,22 %) et celle des dettes fournisseurs (+35,71 %) interroge sur le cut-off des achats.</w:t>
        <w:br/>
        <w:br/>
        <w:t>Ces observations dépassent le seul cycle trésorerie mais elles constituent un contexte de risque global pertinent pour comprendre l'environnement dans lequel s'inscrivent les flux financiers audités. Le seuil de signification retenu pour cet exercice est fixé à 935 000 FDJ, niveau au regard duquel la variation inexpliquée sur le compte 512 représente un multiple très significatif, justifiant pleinement une approche substantive renforcée.</w:t>
      </w:r>
    </w:p>
    <w:p>
      <w:pPr>
        <w:pStyle w:val="Heading2"/>
      </w:pPr>
      <w:r>
        <w:t>3. Cartographie des risques et seuil de signification</w:t>
      </w:r>
    </w:p>
    <w:p>
      <w:r>
        <w:rPr>
          <w:b w:val="0"/>
          <w:i w:val="0"/>
          <w:sz w:val="22"/>
        </w:rPr>
        <w:t>Sur la base des procédures analytiques et de l'analyse de l'environnement de l'entité, nous avons identifié et validé huit risques sur le cycle trésorerie, dont cinq présentent un niveau élevé et trois un niveau moyen.</w:t>
        <w:br/>
        <w:br/>
        <w:t>**Risques de niveau élevé :**</w:t>
        <w:br/>
        <w:br/>
        <w:t>— *Solde bancaire anormalement élevé — compte 512 BCI CC n°4521* (source : analytique) : l'excédent non justifié de 6 500 000 sur ce compte constitue le risque principal de la mission. Les assertions d'existence et d'exhaustivité sont directement mises en cause. Ce risque est à l'origine de l'orientation substantive de l'ensemble du programme de travail.</w:t>
        <w:br/>
        <w:br/>
        <w:t>— *Absence de rapprochement bancaire formalisé en fin de période* (source : entité) : dans une structure à effectif réduit, l'absence probable de rapprochement bancaire indépendant prive l'entité d'un contrôle compensatoire fondamental. Les assertions d'exhaustivité et d'existence sont concernées.</w:t>
        <w:br/>
        <w:br/>
        <w:t>— *Risque de cut-off sur les encaissements et décaissements de fin d'exercice* (source : analytique) : la variation importante du solde bancaire expose à un risque de rattachement incorrect des flux à l'exercice, notamment pour les virements en transit ou les chèques émis non débités. Les assertions de cut-off et d'exhaustivité sont visées.</w:t>
        <w:br/>
        <w:br/>
        <w:t>— *Risque de cumul de fonctions et faiblesse du contrôle interne trésorerie* (source : entité) : avec un effectif de quatre personnes, la séparation des tâches est structurellement insuffisante. Cette faiblesse amplifie tous les autres risques identifiés et justifie une orientation résolument substantive de nos travaux, sans possibilité de nous appuyer sur les contrôles internes. Les assertions d'existence et d'exhaustivité sont concernées.</w:t>
        <w:br/>
        <w:br/>
        <w:t>— *Absence de dirigeants renseignés — gouvernance et autorisation des flux* (source : entité) : l'impossibilité de vérifier les pouvoirs de signature bancaire et les habilitations sur les comptes accroît le risque d'opérations non autorisées ou non tracées. Les assertions de droits et d'existence sont visées.</w:t>
        <w:br/>
        <w:br/>
        <w:t>**Risques de niveau moyen :**</w:t>
        <w:br/>
        <w:br/>
        <w:t>— *Présentation et classification des flux de trésorerie dans les états financiers* (source : IA) : la nature de l'excédent constaté pourrait conduire à une présentation inexacte des disponibilités, notamment si des sommes à reclasser sont maintenues en compte courant. Les assertions de présentation et d'évaluation sont concernées.</w:t>
        <w:br/>
        <w:br/>
        <w:t>— *Évaluation des disponibilités en devises étrangères* (source : risque inhérent) : dans le contexte d'une clientèle potentiellement domiciliée à Djibouti, des soldes en devises pourraient ne pas être convertis au cours de clôture. Les assertions d'évaluation et de présentation sont visées.</w:t>
        <w:br/>
        <w:br/>
        <w:t>— *Risque de comptes bancaires non déclarés ou non comptabilisés* (source : IA) : la complexité des flux sur le compte principal et la faiblesse du dispositif de contrôle interne accroissent le risque qu'un ou plusieurs comptes bancaires secondaires n'aient pas été intégrés dans les états financiers. Les assertions d'exhaustivité et d'existence sont concernées.</w:t>
        <w:br/>
        <w:br/>
        <w:t>La concentration de risques élevés sur les assertions d'existence et d'exhaustivité du cycle trésorerie justifie une approche entièrement substantive, sans réduction du niveau de travaux liée à une quelconque confiance dans les contrôles internes, ceux-ci étant présumés insuffisants au stade de la planification.</w:t>
      </w:r>
    </w:p>
    <w:p>
      <w:pPr>
        <w:pStyle w:val="Heading2"/>
      </w:pPr>
      <w:r>
        <w:t>4. Justification du programme de travail</w:t>
      </w:r>
    </w:p>
    <w:p>
      <w:r>
        <w:rPr>
          <w:b w:val="0"/>
          <w:i w:val="0"/>
          <w:sz w:val="22"/>
        </w:rPr>
        <w:t>Le programme de travail retenu comporte huit contrôles, tous classés en priorité haute, exclusivement orientés vers le cycle trésorerie. Ce choix résulte directement de la concentration des risques élevés sur ce cycle et de l'impossibilité de nous appuyer sur des contrôles internes dont l'effectivité ne peut être présumée. L'approche est entièrement substantive.</w:t>
        <w:br/>
        <w:br/>
        <w:t>**Logique de séquencement :**</w:t>
        <w:br/>
        <w:br/>
        <w:t>Nous avons organisé les travaux selon une progression allant des vérifications d'intégrité comptable vers les confirmations externes, puis vers les analyses de détection de signaux d'anomalie.</w:t>
        <w:br/>
        <w:br/>
        <w:t>*Phase 1 — Intégrité de la balance et du grand livre :*</w:t>
        <w:br/>
        <w:t>Les contrôles TRESOR-BAL-EQUIL (équilibre de la balance) et TRESOR-GL-COHER (cohérence grand livre / balance) constituent le point d'entrée logique. Avant toute investigation sur les soldes, nous devons nous assurer que les données comptables sur lesquelles nous travaillons sont arithmétiquement fiables et cohérentes. Ces deux contrôles répondent au risque de solde bancaire anormalement élevé et au risque d'absence de rapprochement bancaire formalisé.</w:t>
        <w:br/>
        <w:br/>
        <w:t>*Phase 2 — Analyse des variations et détection des écarts :*</w:t>
        <w:br/>
        <w:t>Le contrôle TRESOR-VARIATION (variations N/N-1 trésorerie) permet de documenter formellement la variation du compte 512 et d'orienter les investigations complémentaires sur son origine. Ce travail analytique ciblé est indissociable du risque principal identifié et constitue le fondement documentaire de toute conclusion sur ce solde.</w:t>
        <w:br/>
        <w:br/>
        <w:t>*Phase 3 — Contrôle substantif central — confirmation bancaire et rapprochement :*</w:t>
        <w:br/>
        <w:t>Le contrôle TRESOR-RAPPROCH est le cœur du dispositif. Il consiste à obtenir ou reconstituer le rapprochement bancaire au 31 décembre 2026 et à le confirmer directement auprès de la BCI par voie de confirmation externe (NEP 505). Ce contrôle est le seul qui permette de valider simultanément l'existence et l'exhaustivité du solde bancaire avec une assurance suffisante, indépendamment des déclarations de l'entité. Il répond directement au risque élevé d'absence de rapprochement formalisé. La confirmation multi-établissements envisagée dans ce cadre permettra également d'adresser le risque de comptes bancaires non déclarés.</w:t>
        <w:br/>
        <w:br/>
        <w:t>*Phase 4 — Exhaustivité des comptes bancaires :*</w:t>
        <w:br/>
        <w:t>Le contrôle TRESOR-SOLDE-ANORMAL (soldes créditeurs anormaux) complète la phase de confirmation en recherchant tout solde créditeur sur un compte de trésorerie actif, signal potentiel d'un compte non déclaré ou d'une compensation irrégulière. Ce contrôle répond directement au risque d'exhaustivité des disponibilités.</w:t>
        <w:br/>
        <w:br/>
        <w:t>*Phase 5 — Détection de signaux de fraude ou d'irrégularités :*</w:t>
        <w:br/>
        <w:t>Deux contrôles analytiques spécifiques viennent renforcer le dispositif face aux faiblesses de gouvernance identifiées. Le contrôle TRESOR-SEQ-PIECES (continuité des séquences de pièces) permet de détecter des ruptures révélatrices d'opérations non tracées, particulièrement pertinent dans un contexte de cumul de fonctions avéré. Le contrôle TRESOR-ROUND (concentration de montants ronds) s'inscrit dans la même logique : dans un environnement de faible séparation des tâches, la concentration d'écritures à montants ronds constitue un signal d'alerte sur des opérations potentiellement fictives ou non autorisées.</w:t>
        <w:br/>
        <w:br/>
        <w:t>*Phase 6 — Cut-off :*</w:t>
        <w:br/>
        <w:t>Le contrôle TRESOR-CUT-OFF (concentration d'écritures en fin d'exercice) clôt le programme en adressant spécifiquement le risque de rattachement incorrect des flux à l'exercice. L'analyse des écritures sur les derniers et premiers jours de la période permet d'identifier les virements en transit et chèques non débités susceptibles d'affecter la présentation des disponibilités.</w:t>
        <w:br/>
        <w:br/>
        <w:t>**Pourquoi ce plan et pas un autre ?**</w:t>
        <w:br/>
        <w:br/>
        <w:t>Un programme alternatif aurait pu privilégier des tests de procédures sur le contrôle interne trésorerie. Nous avons écarté cette approche pour deux raisons déterminantes : d'une part, la faiblesse structurelle présumée du contrôle interne (effectif réduit, cumul de fonctions probable, absence de dirigeant identifié) rend illusoire toute réduction du risque de détection fondée sur des contrôles internes ; d'autre part, l'anomalie explicitement identifiée sur le compte 512 — 6 500 000 sans justification — impose une réponse d'audit directe et proportionnée, centrée sur la confirmation externe et le rapprochement exhaustif. Tout allègement du programme aurait été incompatible avec le niveau de risque constaté et avec notre obligation professionnelle d'obtenir des éléments probants suffisants et appropriés.</w:t>
      </w:r>
    </w:p>
    <w:p/>
    <w:p>
      <w:r>
        <w:rPr>
          <w:i/>
        </w:rPr>
        <w:t>La présente note de planification établit que le cycle trésorerie de l'entité IYYIU présente, pour l'exercice 2026, un profil de risque élevé, caractérisé par la conjonction d'une anomalie analytique majeure sur le compte bancaire principal, d'une gouvernance insuffisamment documentée et d'un environnement de contrôle interne structurellement limité. Le seuil de signification retenu à 935 000 FDJ confirme la matérialité des enjeux identifiés. Le programme de travail retenu — huit contrôles de priorité haute, entièrement substantifs — est la réponse proportionnée et documentée à ces risques. Il couvre l'ensemble des assertions critiques du cycle (existence, exhaustivité, cut-off, droits, évaluation, présentation) et repose sur une confirmation bancaire externe comme élément probant central, complété par des analyses de détection d'anomalies adaptées au contexte de faible séparation des tâches. Ce programme sera susceptible d'évoluer en cours de mission si les premiers travaux révèlent des éléments nouveaux, notamment en cas d'identification de comptes bancaires non déclarés ou de flux non autorisés.</w:t>
      </w:r>
    </w:p>
    <w:p/>
    <w:p>
      <w:pPr>
        <w:spacing w:after="0"/>
      </w:pPr>
      <w:r>
        <w:rPr>
          <w:sz w:val="16"/>
        </w:rPr>
        <w:t>────────────────────────────────────────────────────────────────────────────────</w:t>
      </w:r>
    </w:p>
    <w:p/>
    <w:p>
      <w:r>
        <w:rPr>
          <w:b/>
        </w:rPr>
        <w:t>Validation par l'auditeur responsable de la mission</w:t>
        <w:br/>
        <w:br/>
      </w:r>
      <w:r>
        <w:t xml:space="preserve">Nom : ___________________________          </w:t>
      </w:r>
      <w:r>
        <w:t>Date : ___________________________</w:t>
        <w:br/>
        <w:br/>
      </w:r>
      <w:r>
        <w:t>Signature : ___________________________</w:t>
      </w:r>
    </w:p>
    <w:p/>
    <w:p>
      <w:pPr>
        <w:spacing w:after="0"/>
      </w:pPr>
      <w:r>
        <w:rPr>
          <w:sz w:val="16"/>
        </w:rPr>
        <w:t>────────────────────────────────────────────────────────────────────────────────</w:t>
      </w:r>
    </w:p>
    <w:p>
      <w:pPr>
        <w:jc w:val="center"/>
      </w:pPr>
      <w:r>
        <w:rPr>
          <w:i/>
          <w:sz w:val="18"/>
        </w:rPr>
        <w:t>Document généré par Probare le 22/06/2026 12:33 UTC · Document confidentiel · Dossier de travail NEP 230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