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B8D1A" w14:textId="77777777" w:rsidR="0027777C" w:rsidRDefault="00000000">
      <w:pPr>
        <w:spacing w:before="1600" w:after="80"/>
      </w:pPr>
      <w:r>
        <w:rPr>
          <w:b/>
          <w:bCs/>
          <w:color w:val="085041"/>
          <w:sz w:val="56"/>
          <w:szCs w:val="56"/>
        </w:rPr>
        <w:t>PROBARE</w:t>
      </w:r>
    </w:p>
    <w:p w14:paraId="02C11D14" w14:textId="77777777" w:rsidR="0027777C" w:rsidRDefault="00000000">
      <w:pPr>
        <w:pBdr>
          <w:bottom w:val="single" w:sz="12" w:space="4" w:color="E8A020"/>
        </w:pBdr>
        <w:spacing w:after="40"/>
      </w:pPr>
      <w:r>
        <w:rPr>
          <w:color w:val="1D9E75"/>
          <w:sz w:val="30"/>
          <w:szCs w:val="30"/>
        </w:rPr>
        <w:t>Document de référence métier</w:t>
      </w:r>
    </w:p>
    <w:p w14:paraId="45853AD8" w14:textId="77777777" w:rsidR="0027777C" w:rsidRDefault="00000000">
      <w:pPr>
        <w:spacing w:before="240" w:after="80"/>
      </w:pPr>
      <w:r>
        <w:rPr>
          <w:b/>
          <w:bCs/>
          <w:color w:val="222222"/>
          <w:sz w:val="36"/>
          <w:szCs w:val="36"/>
        </w:rPr>
        <w:t>L’audit comptable de bout en bout</w:t>
      </w:r>
    </w:p>
    <w:p w14:paraId="232F3B40" w14:textId="77777777" w:rsidR="0027777C" w:rsidRDefault="00000000">
      <w:pPr>
        <w:spacing w:after="40"/>
      </w:pPr>
      <w:r>
        <w:rPr>
          <w:color w:val="555555"/>
          <w:sz w:val="24"/>
          <w:szCs w:val="24"/>
        </w:rPr>
        <w:t>Du premier contact client à la remise du dossier d’audit complet</w:t>
      </w:r>
    </w:p>
    <w:p w14:paraId="6600DB5E" w14:textId="77777777" w:rsidR="0027777C" w:rsidRDefault="00000000">
      <w:pPr>
        <w:spacing w:before="600"/>
      </w:pPr>
      <w:r>
        <w:rPr>
          <w:i/>
          <w:iCs/>
          <w:color w:val="555555"/>
        </w:rPr>
        <w:t>Cadre, étapes, embranchements et points de conception logicielle</w:t>
      </w:r>
    </w:p>
    <w:p w14:paraId="49EC8C2D" w14:textId="77777777" w:rsidR="0027777C" w:rsidRDefault="00000000">
      <w:pPr>
        <w:spacing w:before="1200"/>
      </w:pPr>
      <w:r>
        <w:rPr>
          <w:color w:val="555555"/>
          <w:sz w:val="20"/>
          <w:szCs w:val="20"/>
        </w:rPr>
        <w:t>Référence interne — conception de l’outil d’assistance à l’audit</w:t>
      </w:r>
    </w:p>
    <w:p w14:paraId="12CA6AD3" w14:textId="77777777" w:rsidR="0027777C" w:rsidRDefault="00000000">
      <w:r>
        <w:br w:type="page"/>
      </w:r>
    </w:p>
    <w:p w14:paraId="7A70D746" w14:textId="77777777" w:rsidR="0027777C" w:rsidRDefault="00000000">
      <w:pPr>
        <w:spacing w:after="160"/>
      </w:pPr>
      <w:r>
        <w:rPr>
          <w:b/>
          <w:bCs/>
          <w:color w:val="085041"/>
          <w:sz w:val="30"/>
          <w:szCs w:val="30"/>
        </w:rPr>
        <w:lastRenderedPageBreak/>
        <w:t>Sommaire</w:t>
      </w:r>
    </w:p>
    <w:sdt>
      <w:sdtPr>
        <w:alias w:val="Sommaire"/>
        <w:id w:val="362019653"/>
      </w:sdtPr>
      <w:sdtContent>
        <w:p w14:paraId="55FF823A" w14:textId="63292D72" w:rsidR="00D62174" w:rsidRDefault="00000000">
          <w:pPr>
            <w:pStyle w:val="TM1"/>
            <w:tabs>
              <w:tab w:val="right" w:leader="dot" w:pos="9350"/>
            </w:tabs>
            <w:rPr>
              <w:noProof/>
            </w:rPr>
          </w:pPr>
          <w:r>
            <w:fldChar w:fldCharType="begin"/>
          </w:r>
          <w:r>
            <w:instrText>TOC \h \o "1-2"</w:instrText>
          </w:r>
          <w:r>
            <w:fldChar w:fldCharType="separate"/>
          </w:r>
          <w:hyperlink w:anchor="_Toc232936351" w:history="1">
            <w:r w:rsidR="00D62174" w:rsidRPr="0013007C">
              <w:rPr>
                <w:rStyle w:val="Hyperlien"/>
                <w:noProof/>
              </w:rPr>
              <w:t>0. Comment lire ce document</w:t>
            </w:r>
            <w:r w:rsidR="00D62174">
              <w:rPr>
                <w:noProof/>
              </w:rPr>
              <w:tab/>
            </w:r>
            <w:r w:rsidR="00D62174">
              <w:rPr>
                <w:noProof/>
              </w:rPr>
              <w:fldChar w:fldCharType="begin"/>
            </w:r>
            <w:r w:rsidR="00D62174">
              <w:rPr>
                <w:noProof/>
              </w:rPr>
              <w:instrText xml:space="preserve"> PAGEREF _Toc232936351 \h </w:instrText>
            </w:r>
            <w:r w:rsidR="00D62174">
              <w:rPr>
                <w:noProof/>
              </w:rPr>
            </w:r>
            <w:r w:rsidR="00D62174">
              <w:rPr>
                <w:noProof/>
              </w:rPr>
              <w:fldChar w:fldCharType="separate"/>
            </w:r>
            <w:r w:rsidR="00D62174">
              <w:rPr>
                <w:noProof/>
              </w:rPr>
              <w:t>4</w:t>
            </w:r>
            <w:r w:rsidR="00D62174">
              <w:rPr>
                <w:noProof/>
              </w:rPr>
              <w:fldChar w:fldCharType="end"/>
            </w:r>
          </w:hyperlink>
        </w:p>
        <w:p w14:paraId="4633D731" w14:textId="5CF0346A" w:rsidR="00D62174" w:rsidRDefault="00D62174">
          <w:pPr>
            <w:pStyle w:val="TM1"/>
            <w:tabs>
              <w:tab w:val="right" w:leader="dot" w:pos="9350"/>
            </w:tabs>
            <w:rPr>
              <w:noProof/>
            </w:rPr>
          </w:pPr>
          <w:hyperlink w:anchor="_Toc232936352" w:history="1">
            <w:r w:rsidRPr="0013007C">
              <w:rPr>
                <w:rStyle w:val="Hyperlien"/>
                <w:noProof/>
              </w:rPr>
              <w:t>1. Vue d’ensemble et cadre</w:t>
            </w:r>
            <w:r>
              <w:rPr>
                <w:noProof/>
              </w:rPr>
              <w:tab/>
            </w:r>
            <w:r>
              <w:rPr>
                <w:noProof/>
              </w:rPr>
              <w:fldChar w:fldCharType="begin"/>
            </w:r>
            <w:r>
              <w:rPr>
                <w:noProof/>
              </w:rPr>
              <w:instrText xml:space="preserve"> PAGEREF _Toc232936352 \h </w:instrText>
            </w:r>
            <w:r>
              <w:rPr>
                <w:noProof/>
              </w:rPr>
            </w:r>
            <w:r>
              <w:rPr>
                <w:noProof/>
              </w:rPr>
              <w:fldChar w:fldCharType="separate"/>
            </w:r>
            <w:r>
              <w:rPr>
                <w:noProof/>
              </w:rPr>
              <w:t>4</w:t>
            </w:r>
            <w:r>
              <w:rPr>
                <w:noProof/>
              </w:rPr>
              <w:fldChar w:fldCharType="end"/>
            </w:r>
          </w:hyperlink>
        </w:p>
        <w:p w14:paraId="4DD350C3" w14:textId="537507BF" w:rsidR="00D62174" w:rsidRDefault="00D62174">
          <w:pPr>
            <w:pStyle w:val="TM2"/>
            <w:tabs>
              <w:tab w:val="right" w:leader="dot" w:pos="9350"/>
            </w:tabs>
            <w:rPr>
              <w:noProof/>
            </w:rPr>
          </w:pPr>
          <w:hyperlink w:anchor="_Toc232936353" w:history="1">
            <w:r w:rsidRPr="0013007C">
              <w:rPr>
                <w:rStyle w:val="Hyperlien"/>
                <w:noProof/>
              </w:rPr>
              <w:t>1.1 Les deux grandes familles d’audit</w:t>
            </w:r>
            <w:r>
              <w:rPr>
                <w:noProof/>
              </w:rPr>
              <w:tab/>
            </w:r>
            <w:r>
              <w:rPr>
                <w:noProof/>
              </w:rPr>
              <w:fldChar w:fldCharType="begin"/>
            </w:r>
            <w:r>
              <w:rPr>
                <w:noProof/>
              </w:rPr>
              <w:instrText xml:space="preserve"> PAGEREF _Toc232936353 \h </w:instrText>
            </w:r>
            <w:r>
              <w:rPr>
                <w:noProof/>
              </w:rPr>
            </w:r>
            <w:r>
              <w:rPr>
                <w:noProof/>
              </w:rPr>
              <w:fldChar w:fldCharType="separate"/>
            </w:r>
            <w:r>
              <w:rPr>
                <w:noProof/>
              </w:rPr>
              <w:t>4</w:t>
            </w:r>
            <w:r>
              <w:rPr>
                <w:noProof/>
              </w:rPr>
              <w:fldChar w:fldCharType="end"/>
            </w:r>
          </w:hyperlink>
        </w:p>
        <w:p w14:paraId="3ECE1A23" w14:textId="45DC85BE" w:rsidR="00D62174" w:rsidRDefault="00D62174">
          <w:pPr>
            <w:pStyle w:val="TM2"/>
            <w:tabs>
              <w:tab w:val="right" w:leader="dot" w:pos="9350"/>
            </w:tabs>
            <w:rPr>
              <w:noProof/>
            </w:rPr>
          </w:pPr>
          <w:hyperlink w:anchor="_Toc232936354" w:history="1">
            <w:r w:rsidRPr="0013007C">
              <w:rPr>
                <w:rStyle w:val="Hyperlien"/>
                <w:noProof/>
              </w:rPr>
              <w:t>1.2 Le cadre normatif</w:t>
            </w:r>
            <w:r>
              <w:rPr>
                <w:noProof/>
              </w:rPr>
              <w:tab/>
            </w:r>
            <w:r>
              <w:rPr>
                <w:noProof/>
              </w:rPr>
              <w:fldChar w:fldCharType="begin"/>
            </w:r>
            <w:r>
              <w:rPr>
                <w:noProof/>
              </w:rPr>
              <w:instrText xml:space="preserve"> PAGEREF _Toc232936354 \h </w:instrText>
            </w:r>
            <w:r>
              <w:rPr>
                <w:noProof/>
              </w:rPr>
            </w:r>
            <w:r>
              <w:rPr>
                <w:noProof/>
              </w:rPr>
              <w:fldChar w:fldCharType="separate"/>
            </w:r>
            <w:r>
              <w:rPr>
                <w:noProof/>
              </w:rPr>
              <w:t>4</w:t>
            </w:r>
            <w:r>
              <w:rPr>
                <w:noProof/>
              </w:rPr>
              <w:fldChar w:fldCharType="end"/>
            </w:r>
          </w:hyperlink>
        </w:p>
        <w:p w14:paraId="03CD8DA1" w14:textId="01474937" w:rsidR="00D62174" w:rsidRDefault="00D62174">
          <w:pPr>
            <w:pStyle w:val="TM2"/>
            <w:tabs>
              <w:tab w:val="right" w:leader="dot" w:pos="9350"/>
            </w:tabs>
            <w:rPr>
              <w:noProof/>
            </w:rPr>
          </w:pPr>
          <w:hyperlink w:anchor="_Toc232936355" w:history="1">
            <w:r w:rsidRPr="0013007C">
              <w:rPr>
                <w:rStyle w:val="Hyperlien"/>
                <w:noProof/>
              </w:rPr>
              <w:t>1.3 Le fil rouge : risque, preuve, opinion</w:t>
            </w:r>
            <w:r>
              <w:rPr>
                <w:noProof/>
              </w:rPr>
              <w:tab/>
            </w:r>
            <w:r>
              <w:rPr>
                <w:noProof/>
              </w:rPr>
              <w:fldChar w:fldCharType="begin"/>
            </w:r>
            <w:r>
              <w:rPr>
                <w:noProof/>
              </w:rPr>
              <w:instrText xml:space="preserve"> PAGEREF _Toc232936355 \h </w:instrText>
            </w:r>
            <w:r>
              <w:rPr>
                <w:noProof/>
              </w:rPr>
            </w:r>
            <w:r>
              <w:rPr>
                <w:noProof/>
              </w:rPr>
              <w:fldChar w:fldCharType="separate"/>
            </w:r>
            <w:r>
              <w:rPr>
                <w:noProof/>
              </w:rPr>
              <w:t>5</w:t>
            </w:r>
            <w:r>
              <w:rPr>
                <w:noProof/>
              </w:rPr>
              <w:fldChar w:fldCharType="end"/>
            </w:r>
          </w:hyperlink>
        </w:p>
        <w:p w14:paraId="7FBF15F4" w14:textId="27FB258E" w:rsidR="00D62174" w:rsidRDefault="00D62174">
          <w:pPr>
            <w:pStyle w:val="TM1"/>
            <w:tabs>
              <w:tab w:val="right" w:leader="dot" w:pos="9350"/>
            </w:tabs>
            <w:rPr>
              <w:noProof/>
            </w:rPr>
          </w:pPr>
          <w:hyperlink w:anchor="_Toc232936356" w:history="1">
            <w:r w:rsidRPr="0013007C">
              <w:rPr>
                <w:rStyle w:val="Hyperlien"/>
                <w:noProof/>
              </w:rPr>
              <w:t>2. Phase 0 — Acceptation ou maintien de la mission</w:t>
            </w:r>
            <w:r>
              <w:rPr>
                <w:noProof/>
              </w:rPr>
              <w:tab/>
            </w:r>
            <w:r>
              <w:rPr>
                <w:noProof/>
              </w:rPr>
              <w:fldChar w:fldCharType="begin"/>
            </w:r>
            <w:r>
              <w:rPr>
                <w:noProof/>
              </w:rPr>
              <w:instrText xml:space="preserve"> PAGEREF _Toc232936356 \h </w:instrText>
            </w:r>
            <w:r>
              <w:rPr>
                <w:noProof/>
              </w:rPr>
            </w:r>
            <w:r>
              <w:rPr>
                <w:noProof/>
              </w:rPr>
              <w:fldChar w:fldCharType="separate"/>
            </w:r>
            <w:r>
              <w:rPr>
                <w:noProof/>
              </w:rPr>
              <w:t>5</w:t>
            </w:r>
            <w:r>
              <w:rPr>
                <w:noProof/>
              </w:rPr>
              <w:fldChar w:fldCharType="end"/>
            </w:r>
          </w:hyperlink>
        </w:p>
        <w:p w14:paraId="60BA21E2" w14:textId="6FE04D3B" w:rsidR="00D62174" w:rsidRDefault="00D62174">
          <w:pPr>
            <w:pStyle w:val="TM2"/>
            <w:tabs>
              <w:tab w:val="right" w:leader="dot" w:pos="9350"/>
            </w:tabs>
            <w:rPr>
              <w:noProof/>
            </w:rPr>
          </w:pPr>
          <w:hyperlink w:anchor="_Toc232936357" w:history="1">
            <w:r w:rsidRPr="0013007C">
              <w:rPr>
                <w:rStyle w:val="Hyperlien"/>
                <w:noProof/>
              </w:rPr>
              <w:t>2.1 Déroulement</w:t>
            </w:r>
            <w:r>
              <w:rPr>
                <w:noProof/>
              </w:rPr>
              <w:tab/>
            </w:r>
            <w:r>
              <w:rPr>
                <w:noProof/>
              </w:rPr>
              <w:fldChar w:fldCharType="begin"/>
            </w:r>
            <w:r>
              <w:rPr>
                <w:noProof/>
              </w:rPr>
              <w:instrText xml:space="preserve"> PAGEREF _Toc232936357 \h </w:instrText>
            </w:r>
            <w:r>
              <w:rPr>
                <w:noProof/>
              </w:rPr>
            </w:r>
            <w:r>
              <w:rPr>
                <w:noProof/>
              </w:rPr>
              <w:fldChar w:fldCharType="separate"/>
            </w:r>
            <w:r>
              <w:rPr>
                <w:noProof/>
              </w:rPr>
              <w:t>5</w:t>
            </w:r>
            <w:r>
              <w:rPr>
                <w:noProof/>
              </w:rPr>
              <w:fldChar w:fldCharType="end"/>
            </w:r>
          </w:hyperlink>
        </w:p>
        <w:p w14:paraId="5FB2B8D6" w14:textId="0FA3D50B" w:rsidR="00D62174" w:rsidRDefault="00D62174">
          <w:pPr>
            <w:pStyle w:val="TM1"/>
            <w:tabs>
              <w:tab w:val="right" w:leader="dot" w:pos="9350"/>
            </w:tabs>
            <w:rPr>
              <w:noProof/>
            </w:rPr>
          </w:pPr>
          <w:hyperlink w:anchor="_Toc232936358" w:history="1">
            <w:r w:rsidRPr="0013007C">
              <w:rPr>
                <w:rStyle w:val="Hyperlien"/>
                <w:noProof/>
              </w:rPr>
              <w:t>3. Phase 1 — Planification (orientation et stratégie)</w:t>
            </w:r>
            <w:r>
              <w:rPr>
                <w:noProof/>
              </w:rPr>
              <w:tab/>
            </w:r>
            <w:r>
              <w:rPr>
                <w:noProof/>
              </w:rPr>
              <w:fldChar w:fldCharType="begin"/>
            </w:r>
            <w:r>
              <w:rPr>
                <w:noProof/>
              </w:rPr>
              <w:instrText xml:space="preserve"> PAGEREF _Toc232936358 \h </w:instrText>
            </w:r>
            <w:r>
              <w:rPr>
                <w:noProof/>
              </w:rPr>
            </w:r>
            <w:r>
              <w:rPr>
                <w:noProof/>
              </w:rPr>
              <w:fldChar w:fldCharType="separate"/>
            </w:r>
            <w:r>
              <w:rPr>
                <w:noProof/>
              </w:rPr>
              <w:t>6</w:t>
            </w:r>
            <w:r>
              <w:rPr>
                <w:noProof/>
              </w:rPr>
              <w:fldChar w:fldCharType="end"/>
            </w:r>
          </w:hyperlink>
        </w:p>
        <w:p w14:paraId="6669CC7F" w14:textId="35943AF8" w:rsidR="00D62174" w:rsidRDefault="00D62174">
          <w:pPr>
            <w:pStyle w:val="TM2"/>
            <w:tabs>
              <w:tab w:val="right" w:leader="dot" w:pos="9350"/>
            </w:tabs>
            <w:rPr>
              <w:noProof/>
            </w:rPr>
          </w:pPr>
          <w:hyperlink w:anchor="_Toc232936359" w:history="1">
            <w:r w:rsidRPr="0013007C">
              <w:rPr>
                <w:rStyle w:val="Hyperlien"/>
                <w:noProof/>
              </w:rPr>
              <w:t>3.1 Prise de connaissance de l’entité et de son environnement</w:t>
            </w:r>
            <w:r>
              <w:rPr>
                <w:noProof/>
              </w:rPr>
              <w:tab/>
            </w:r>
            <w:r>
              <w:rPr>
                <w:noProof/>
              </w:rPr>
              <w:fldChar w:fldCharType="begin"/>
            </w:r>
            <w:r>
              <w:rPr>
                <w:noProof/>
              </w:rPr>
              <w:instrText xml:space="preserve"> PAGEREF _Toc232936359 \h </w:instrText>
            </w:r>
            <w:r>
              <w:rPr>
                <w:noProof/>
              </w:rPr>
            </w:r>
            <w:r>
              <w:rPr>
                <w:noProof/>
              </w:rPr>
              <w:fldChar w:fldCharType="separate"/>
            </w:r>
            <w:r>
              <w:rPr>
                <w:noProof/>
              </w:rPr>
              <w:t>6</w:t>
            </w:r>
            <w:r>
              <w:rPr>
                <w:noProof/>
              </w:rPr>
              <w:fldChar w:fldCharType="end"/>
            </w:r>
          </w:hyperlink>
        </w:p>
        <w:p w14:paraId="03D70D6A" w14:textId="2D5AB682" w:rsidR="00D62174" w:rsidRDefault="00D62174">
          <w:pPr>
            <w:pStyle w:val="TM2"/>
            <w:tabs>
              <w:tab w:val="right" w:leader="dot" w:pos="9350"/>
            </w:tabs>
            <w:rPr>
              <w:noProof/>
            </w:rPr>
          </w:pPr>
          <w:hyperlink w:anchor="_Toc232936360" w:history="1">
            <w:r w:rsidRPr="0013007C">
              <w:rPr>
                <w:rStyle w:val="Hyperlien"/>
                <w:noProof/>
              </w:rPr>
              <w:t>3.2 Évaluation du risque d’anomalies significatives</w:t>
            </w:r>
            <w:r>
              <w:rPr>
                <w:noProof/>
              </w:rPr>
              <w:tab/>
            </w:r>
            <w:r>
              <w:rPr>
                <w:noProof/>
              </w:rPr>
              <w:fldChar w:fldCharType="begin"/>
            </w:r>
            <w:r>
              <w:rPr>
                <w:noProof/>
              </w:rPr>
              <w:instrText xml:space="preserve"> PAGEREF _Toc232936360 \h </w:instrText>
            </w:r>
            <w:r>
              <w:rPr>
                <w:noProof/>
              </w:rPr>
            </w:r>
            <w:r>
              <w:rPr>
                <w:noProof/>
              </w:rPr>
              <w:fldChar w:fldCharType="separate"/>
            </w:r>
            <w:r>
              <w:rPr>
                <w:noProof/>
              </w:rPr>
              <w:t>6</w:t>
            </w:r>
            <w:r>
              <w:rPr>
                <w:noProof/>
              </w:rPr>
              <w:fldChar w:fldCharType="end"/>
            </w:r>
          </w:hyperlink>
        </w:p>
        <w:p w14:paraId="6C2A56D9" w14:textId="1FBE5377" w:rsidR="00D62174" w:rsidRDefault="00D62174">
          <w:pPr>
            <w:pStyle w:val="TM2"/>
            <w:tabs>
              <w:tab w:val="right" w:leader="dot" w:pos="9350"/>
            </w:tabs>
            <w:rPr>
              <w:noProof/>
            </w:rPr>
          </w:pPr>
          <w:hyperlink w:anchor="_Toc232936361" w:history="1">
            <w:r w:rsidRPr="0013007C">
              <w:rPr>
                <w:rStyle w:val="Hyperlien"/>
                <w:noProof/>
              </w:rPr>
              <w:t>3.3 Détermination du seuil de signification (matérialité)</w:t>
            </w:r>
            <w:r>
              <w:rPr>
                <w:noProof/>
              </w:rPr>
              <w:tab/>
            </w:r>
            <w:r>
              <w:rPr>
                <w:noProof/>
              </w:rPr>
              <w:fldChar w:fldCharType="begin"/>
            </w:r>
            <w:r>
              <w:rPr>
                <w:noProof/>
              </w:rPr>
              <w:instrText xml:space="preserve"> PAGEREF _Toc232936361 \h </w:instrText>
            </w:r>
            <w:r>
              <w:rPr>
                <w:noProof/>
              </w:rPr>
            </w:r>
            <w:r>
              <w:rPr>
                <w:noProof/>
              </w:rPr>
              <w:fldChar w:fldCharType="separate"/>
            </w:r>
            <w:r>
              <w:rPr>
                <w:noProof/>
              </w:rPr>
              <w:t>6</w:t>
            </w:r>
            <w:r>
              <w:rPr>
                <w:noProof/>
              </w:rPr>
              <w:fldChar w:fldCharType="end"/>
            </w:r>
          </w:hyperlink>
        </w:p>
        <w:p w14:paraId="2F52BDA4" w14:textId="5AE05C05" w:rsidR="00D62174" w:rsidRDefault="00D62174">
          <w:pPr>
            <w:pStyle w:val="TM2"/>
            <w:tabs>
              <w:tab w:val="right" w:leader="dot" w:pos="9350"/>
            </w:tabs>
            <w:rPr>
              <w:noProof/>
            </w:rPr>
          </w:pPr>
          <w:hyperlink w:anchor="_Toc232936362" w:history="1">
            <w:r w:rsidRPr="0013007C">
              <w:rPr>
                <w:rStyle w:val="Hyperlien"/>
                <w:noProof/>
              </w:rPr>
              <w:t>3.4 Procédures analytiques préliminaires</w:t>
            </w:r>
            <w:r>
              <w:rPr>
                <w:noProof/>
              </w:rPr>
              <w:tab/>
            </w:r>
            <w:r>
              <w:rPr>
                <w:noProof/>
              </w:rPr>
              <w:fldChar w:fldCharType="begin"/>
            </w:r>
            <w:r>
              <w:rPr>
                <w:noProof/>
              </w:rPr>
              <w:instrText xml:space="preserve"> PAGEREF _Toc232936362 \h </w:instrText>
            </w:r>
            <w:r>
              <w:rPr>
                <w:noProof/>
              </w:rPr>
            </w:r>
            <w:r>
              <w:rPr>
                <w:noProof/>
              </w:rPr>
              <w:fldChar w:fldCharType="separate"/>
            </w:r>
            <w:r>
              <w:rPr>
                <w:noProof/>
              </w:rPr>
              <w:t>6</w:t>
            </w:r>
            <w:r>
              <w:rPr>
                <w:noProof/>
              </w:rPr>
              <w:fldChar w:fldCharType="end"/>
            </w:r>
          </w:hyperlink>
        </w:p>
        <w:p w14:paraId="14420B55" w14:textId="15E96F51" w:rsidR="00D62174" w:rsidRDefault="00D62174">
          <w:pPr>
            <w:pStyle w:val="TM2"/>
            <w:tabs>
              <w:tab w:val="right" w:leader="dot" w:pos="9350"/>
            </w:tabs>
            <w:rPr>
              <w:noProof/>
            </w:rPr>
          </w:pPr>
          <w:hyperlink w:anchor="_Toc232936363" w:history="1">
            <w:r w:rsidRPr="0013007C">
              <w:rPr>
                <w:rStyle w:val="Hyperlien"/>
                <w:noProof/>
              </w:rPr>
              <w:t>3.5 Stratégie et plan de mission</w:t>
            </w:r>
            <w:r>
              <w:rPr>
                <w:noProof/>
              </w:rPr>
              <w:tab/>
            </w:r>
            <w:r>
              <w:rPr>
                <w:noProof/>
              </w:rPr>
              <w:fldChar w:fldCharType="begin"/>
            </w:r>
            <w:r>
              <w:rPr>
                <w:noProof/>
              </w:rPr>
              <w:instrText xml:space="preserve"> PAGEREF _Toc232936363 \h </w:instrText>
            </w:r>
            <w:r>
              <w:rPr>
                <w:noProof/>
              </w:rPr>
            </w:r>
            <w:r>
              <w:rPr>
                <w:noProof/>
              </w:rPr>
              <w:fldChar w:fldCharType="separate"/>
            </w:r>
            <w:r>
              <w:rPr>
                <w:noProof/>
              </w:rPr>
              <w:t>6</w:t>
            </w:r>
            <w:r>
              <w:rPr>
                <w:noProof/>
              </w:rPr>
              <w:fldChar w:fldCharType="end"/>
            </w:r>
          </w:hyperlink>
        </w:p>
        <w:p w14:paraId="44B96BAF" w14:textId="030B685D" w:rsidR="00D62174" w:rsidRDefault="00D62174">
          <w:pPr>
            <w:pStyle w:val="TM1"/>
            <w:tabs>
              <w:tab w:val="right" w:leader="dot" w:pos="9350"/>
            </w:tabs>
            <w:rPr>
              <w:noProof/>
            </w:rPr>
          </w:pPr>
          <w:hyperlink w:anchor="_Toc232936364" w:history="1">
            <w:r w:rsidRPr="0013007C">
              <w:rPr>
                <w:rStyle w:val="Hyperlien"/>
                <w:noProof/>
              </w:rPr>
              <w:t>4. Phase 2 — Appréciation du contrôle interne</w:t>
            </w:r>
            <w:r>
              <w:rPr>
                <w:noProof/>
              </w:rPr>
              <w:tab/>
            </w:r>
            <w:r>
              <w:rPr>
                <w:noProof/>
              </w:rPr>
              <w:fldChar w:fldCharType="begin"/>
            </w:r>
            <w:r>
              <w:rPr>
                <w:noProof/>
              </w:rPr>
              <w:instrText xml:space="preserve"> PAGEREF _Toc232936364 \h </w:instrText>
            </w:r>
            <w:r>
              <w:rPr>
                <w:noProof/>
              </w:rPr>
            </w:r>
            <w:r>
              <w:rPr>
                <w:noProof/>
              </w:rPr>
              <w:fldChar w:fldCharType="separate"/>
            </w:r>
            <w:r>
              <w:rPr>
                <w:noProof/>
              </w:rPr>
              <w:t>7</w:t>
            </w:r>
            <w:r>
              <w:rPr>
                <w:noProof/>
              </w:rPr>
              <w:fldChar w:fldCharType="end"/>
            </w:r>
          </w:hyperlink>
        </w:p>
        <w:p w14:paraId="1864EE12" w14:textId="5122AA76" w:rsidR="00D62174" w:rsidRDefault="00D62174">
          <w:pPr>
            <w:pStyle w:val="TM2"/>
            <w:tabs>
              <w:tab w:val="right" w:leader="dot" w:pos="9350"/>
            </w:tabs>
            <w:rPr>
              <w:noProof/>
            </w:rPr>
          </w:pPr>
          <w:hyperlink w:anchor="_Toc232936365" w:history="1">
            <w:r w:rsidRPr="0013007C">
              <w:rPr>
                <w:rStyle w:val="Hyperlien"/>
                <w:noProof/>
              </w:rPr>
              <w:t>4.1 Démarche par cycle</w:t>
            </w:r>
            <w:r>
              <w:rPr>
                <w:noProof/>
              </w:rPr>
              <w:tab/>
            </w:r>
            <w:r>
              <w:rPr>
                <w:noProof/>
              </w:rPr>
              <w:fldChar w:fldCharType="begin"/>
            </w:r>
            <w:r>
              <w:rPr>
                <w:noProof/>
              </w:rPr>
              <w:instrText xml:space="preserve"> PAGEREF _Toc232936365 \h </w:instrText>
            </w:r>
            <w:r>
              <w:rPr>
                <w:noProof/>
              </w:rPr>
            </w:r>
            <w:r>
              <w:rPr>
                <w:noProof/>
              </w:rPr>
              <w:fldChar w:fldCharType="separate"/>
            </w:r>
            <w:r>
              <w:rPr>
                <w:noProof/>
              </w:rPr>
              <w:t>7</w:t>
            </w:r>
            <w:r>
              <w:rPr>
                <w:noProof/>
              </w:rPr>
              <w:fldChar w:fldCharType="end"/>
            </w:r>
          </w:hyperlink>
        </w:p>
        <w:p w14:paraId="730DE5AE" w14:textId="1E3A3E2A" w:rsidR="00D62174" w:rsidRDefault="00D62174">
          <w:pPr>
            <w:pStyle w:val="TM2"/>
            <w:tabs>
              <w:tab w:val="right" w:leader="dot" w:pos="9350"/>
            </w:tabs>
            <w:rPr>
              <w:noProof/>
            </w:rPr>
          </w:pPr>
          <w:hyperlink w:anchor="_Toc232936366" w:history="1">
            <w:r w:rsidRPr="0013007C">
              <w:rPr>
                <w:rStyle w:val="Hyperlien"/>
                <w:noProof/>
              </w:rPr>
              <w:t>4.2 L’embranchement central de la mission</w:t>
            </w:r>
            <w:r>
              <w:rPr>
                <w:noProof/>
              </w:rPr>
              <w:tab/>
            </w:r>
            <w:r>
              <w:rPr>
                <w:noProof/>
              </w:rPr>
              <w:fldChar w:fldCharType="begin"/>
            </w:r>
            <w:r>
              <w:rPr>
                <w:noProof/>
              </w:rPr>
              <w:instrText xml:space="preserve"> PAGEREF _Toc232936366 \h </w:instrText>
            </w:r>
            <w:r>
              <w:rPr>
                <w:noProof/>
              </w:rPr>
            </w:r>
            <w:r>
              <w:rPr>
                <w:noProof/>
              </w:rPr>
              <w:fldChar w:fldCharType="separate"/>
            </w:r>
            <w:r>
              <w:rPr>
                <w:noProof/>
              </w:rPr>
              <w:t>7</w:t>
            </w:r>
            <w:r>
              <w:rPr>
                <w:noProof/>
              </w:rPr>
              <w:fldChar w:fldCharType="end"/>
            </w:r>
          </w:hyperlink>
        </w:p>
        <w:p w14:paraId="77312670" w14:textId="3FB7184E" w:rsidR="00D62174" w:rsidRDefault="00D62174">
          <w:pPr>
            <w:pStyle w:val="TM1"/>
            <w:tabs>
              <w:tab w:val="right" w:leader="dot" w:pos="9350"/>
            </w:tabs>
            <w:rPr>
              <w:noProof/>
            </w:rPr>
          </w:pPr>
          <w:hyperlink w:anchor="_Toc232936367" w:history="1">
            <w:r w:rsidRPr="0013007C">
              <w:rPr>
                <w:rStyle w:val="Hyperlien"/>
                <w:noProof/>
              </w:rPr>
              <w:t>5. Phase 3 — Contrôle des comptes (travaux substantifs)</w:t>
            </w:r>
            <w:r>
              <w:rPr>
                <w:noProof/>
              </w:rPr>
              <w:tab/>
            </w:r>
            <w:r>
              <w:rPr>
                <w:noProof/>
              </w:rPr>
              <w:fldChar w:fldCharType="begin"/>
            </w:r>
            <w:r>
              <w:rPr>
                <w:noProof/>
              </w:rPr>
              <w:instrText xml:space="preserve"> PAGEREF _Toc232936367 \h </w:instrText>
            </w:r>
            <w:r>
              <w:rPr>
                <w:noProof/>
              </w:rPr>
            </w:r>
            <w:r>
              <w:rPr>
                <w:noProof/>
              </w:rPr>
              <w:fldChar w:fldCharType="separate"/>
            </w:r>
            <w:r>
              <w:rPr>
                <w:noProof/>
              </w:rPr>
              <w:t>8</w:t>
            </w:r>
            <w:r>
              <w:rPr>
                <w:noProof/>
              </w:rPr>
              <w:fldChar w:fldCharType="end"/>
            </w:r>
          </w:hyperlink>
        </w:p>
        <w:p w14:paraId="339C9BFC" w14:textId="34665956" w:rsidR="00D62174" w:rsidRDefault="00D62174">
          <w:pPr>
            <w:pStyle w:val="TM2"/>
            <w:tabs>
              <w:tab w:val="right" w:leader="dot" w:pos="9350"/>
            </w:tabs>
            <w:rPr>
              <w:noProof/>
            </w:rPr>
          </w:pPr>
          <w:hyperlink w:anchor="_Toc232936368" w:history="1">
            <w:r w:rsidRPr="0013007C">
              <w:rPr>
                <w:rStyle w:val="Hyperlien"/>
                <w:noProof/>
              </w:rPr>
              <w:t>5.1 Les assertions d’audit</w:t>
            </w:r>
            <w:r>
              <w:rPr>
                <w:noProof/>
              </w:rPr>
              <w:tab/>
            </w:r>
            <w:r>
              <w:rPr>
                <w:noProof/>
              </w:rPr>
              <w:fldChar w:fldCharType="begin"/>
            </w:r>
            <w:r>
              <w:rPr>
                <w:noProof/>
              </w:rPr>
              <w:instrText xml:space="preserve"> PAGEREF _Toc232936368 \h </w:instrText>
            </w:r>
            <w:r>
              <w:rPr>
                <w:noProof/>
              </w:rPr>
            </w:r>
            <w:r>
              <w:rPr>
                <w:noProof/>
              </w:rPr>
              <w:fldChar w:fldCharType="separate"/>
            </w:r>
            <w:r>
              <w:rPr>
                <w:noProof/>
              </w:rPr>
              <w:t>8</w:t>
            </w:r>
            <w:r>
              <w:rPr>
                <w:noProof/>
              </w:rPr>
              <w:fldChar w:fldCharType="end"/>
            </w:r>
          </w:hyperlink>
        </w:p>
        <w:p w14:paraId="1A18F1C9" w14:textId="614BF881" w:rsidR="00D62174" w:rsidRDefault="00D62174">
          <w:pPr>
            <w:pStyle w:val="TM2"/>
            <w:tabs>
              <w:tab w:val="right" w:leader="dot" w:pos="9350"/>
            </w:tabs>
            <w:rPr>
              <w:noProof/>
            </w:rPr>
          </w:pPr>
          <w:hyperlink w:anchor="_Toc232936369" w:history="1">
            <w:r w:rsidRPr="0013007C">
              <w:rPr>
                <w:rStyle w:val="Hyperlien"/>
                <w:noProof/>
              </w:rPr>
              <w:t>5.2 Les techniques de contrôle</w:t>
            </w:r>
            <w:r>
              <w:rPr>
                <w:noProof/>
              </w:rPr>
              <w:tab/>
            </w:r>
            <w:r>
              <w:rPr>
                <w:noProof/>
              </w:rPr>
              <w:fldChar w:fldCharType="begin"/>
            </w:r>
            <w:r>
              <w:rPr>
                <w:noProof/>
              </w:rPr>
              <w:instrText xml:space="preserve"> PAGEREF _Toc232936369 \h </w:instrText>
            </w:r>
            <w:r>
              <w:rPr>
                <w:noProof/>
              </w:rPr>
            </w:r>
            <w:r>
              <w:rPr>
                <w:noProof/>
              </w:rPr>
              <w:fldChar w:fldCharType="separate"/>
            </w:r>
            <w:r>
              <w:rPr>
                <w:noProof/>
              </w:rPr>
              <w:t>8</w:t>
            </w:r>
            <w:r>
              <w:rPr>
                <w:noProof/>
              </w:rPr>
              <w:fldChar w:fldCharType="end"/>
            </w:r>
          </w:hyperlink>
        </w:p>
        <w:p w14:paraId="4A005A53" w14:textId="43584BCC" w:rsidR="00D62174" w:rsidRDefault="00D62174">
          <w:pPr>
            <w:pStyle w:val="TM2"/>
            <w:tabs>
              <w:tab w:val="right" w:leader="dot" w:pos="9350"/>
            </w:tabs>
            <w:rPr>
              <w:noProof/>
            </w:rPr>
          </w:pPr>
          <w:hyperlink w:anchor="_Toc232936370" w:history="1">
            <w:r w:rsidRPr="0013007C">
              <w:rPr>
                <w:rStyle w:val="Hyperlien"/>
                <w:noProof/>
              </w:rPr>
              <w:t>5.3 Organisation des travaux</w:t>
            </w:r>
            <w:r>
              <w:rPr>
                <w:noProof/>
              </w:rPr>
              <w:tab/>
            </w:r>
            <w:r>
              <w:rPr>
                <w:noProof/>
              </w:rPr>
              <w:fldChar w:fldCharType="begin"/>
            </w:r>
            <w:r>
              <w:rPr>
                <w:noProof/>
              </w:rPr>
              <w:instrText xml:space="preserve"> PAGEREF _Toc232936370 \h </w:instrText>
            </w:r>
            <w:r>
              <w:rPr>
                <w:noProof/>
              </w:rPr>
            </w:r>
            <w:r>
              <w:rPr>
                <w:noProof/>
              </w:rPr>
              <w:fldChar w:fldCharType="separate"/>
            </w:r>
            <w:r>
              <w:rPr>
                <w:noProof/>
              </w:rPr>
              <w:t>8</w:t>
            </w:r>
            <w:r>
              <w:rPr>
                <w:noProof/>
              </w:rPr>
              <w:fldChar w:fldCharType="end"/>
            </w:r>
          </w:hyperlink>
        </w:p>
        <w:p w14:paraId="0A9605BC" w14:textId="72C9E415" w:rsidR="00D62174" w:rsidRDefault="00D62174">
          <w:pPr>
            <w:pStyle w:val="TM1"/>
            <w:tabs>
              <w:tab w:val="right" w:leader="dot" w:pos="9350"/>
            </w:tabs>
            <w:rPr>
              <w:noProof/>
            </w:rPr>
          </w:pPr>
          <w:hyperlink w:anchor="_Toc232936371" w:history="1">
            <w:r w:rsidRPr="0013007C">
              <w:rPr>
                <w:rStyle w:val="Hyperlien"/>
                <w:noProof/>
              </w:rPr>
              <w:t>6. Phase 4 — Travaux de fin de mission</w:t>
            </w:r>
            <w:r>
              <w:rPr>
                <w:noProof/>
              </w:rPr>
              <w:tab/>
            </w:r>
            <w:r>
              <w:rPr>
                <w:noProof/>
              </w:rPr>
              <w:fldChar w:fldCharType="begin"/>
            </w:r>
            <w:r>
              <w:rPr>
                <w:noProof/>
              </w:rPr>
              <w:instrText xml:space="preserve"> PAGEREF _Toc232936371 \h </w:instrText>
            </w:r>
            <w:r>
              <w:rPr>
                <w:noProof/>
              </w:rPr>
            </w:r>
            <w:r>
              <w:rPr>
                <w:noProof/>
              </w:rPr>
              <w:fldChar w:fldCharType="separate"/>
            </w:r>
            <w:r>
              <w:rPr>
                <w:noProof/>
              </w:rPr>
              <w:t>9</w:t>
            </w:r>
            <w:r>
              <w:rPr>
                <w:noProof/>
              </w:rPr>
              <w:fldChar w:fldCharType="end"/>
            </w:r>
          </w:hyperlink>
        </w:p>
        <w:p w14:paraId="3866C022" w14:textId="1C8612FA" w:rsidR="00D62174" w:rsidRDefault="00D62174">
          <w:pPr>
            <w:pStyle w:val="TM1"/>
            <w:tabs>
              <w:tab w:val="right" w:leader="dot" w:pos="9350"/>
            </w:tabs>
            <w:rPr>
              <w:noProof/>
            </w:rPr>
          </w:pPr>
          <w:hyperlink w:anchor="_Toc232936372" w:history="1">
            <w:r w:rsidRPr="0013007C">
              <w:rPr>
                <w:rStyle w:val="Hyperlien"/>
                <w:noProof/>
              </w:rPr>
              <w:t>7. Phase 5 — Opinion et rapports</w:t>
            </w:r>
            <w:r>
              <w:rPr>
                <w:noProof/>
              </w:rPr>
              <w:tab/>
            </w:r>
            <w:r>
              <w:rPr>
                <w:noProof/>
              </w:rPr>
              <w:fldChar w:fldCharType="begin"/>
            </w:r>
            <w:r>
              <w:rPr>
                <w:noProof/>
              </w:rPr>
              <w:instrText xml:space="preserve"> PAGEREF _Toc232936372 \h </w:instrText>
            </w:r>
            <w:r>
              <w:rPr>
                <w:noProof/>
              </w:rPr>
            </w:r>
            <w:r>
              <w:rPr>
                <w:noProof/>
              </w:rPr>
              <w:fldChar w:fldCharType="separate"/>
            </w:r>
            <w:r>
              <w:rPr>
                <w:noProof/>
              </w:rPr>
              <w:t>9</w:t>
            </w:r>
            <w:r>
              <w:rPr>
                <w:noProof/>
              </w:rPr>
              <w:fldChar w:fldCharType="end"/>
            </w:r>
          </w:hyperlink>
        </w:p>
        <w:p w14:paraId="58E5B317" w14:textId="3FB95B26" w:rsidR="00D62174" w:rsidRDefault="00D62174">
          <w:pPr>
            <w:pStyle w:val="TM2"/>
            <w:tabs>
              <w:tab w:val="right" w:leader="dot" w:pos="9350"/>
            </w:tabs>
            <w:rPr>
              <w:noProof/>
            </w:rPr>
          </w:pPr>
          <w:hyperlink w:anchor="_Toc232936373" w:history="1">
            <w:r w:rsidRPr="0013007C">
              <w:rPr>
                <w:rStyle w:val="Hyperlien"/>
                <w:noProof/>
              </w:rPr>
              <w:t>7.1 Les quatre types d’opinion</w:t>
            </w:r>
            <w:r>
              <w:rPr>
                <w:noProof/>
              </w:rPr>
              <w:tab/>
            </w:r>
            <w:r>
              <w:rPr>
                <w:noProof/>
              </w:rPr>
              <w:fldChar w:fldCharType="begin"/>
            </w:r>
            <w:r>
              <w:rPr>
                <w:noProof/>
              </w:rPr>
              <w:instrText xml:space="preserve"> PAGEREF _Toc232936373 \h </w:instrText>
            </w:r>
            <w:r>
              <w:rPr>
                <w:noProof/>
              </w:rPr>
            </w:r>
            <w:r>
              <w:rPr>
                <w:noProof/>
              </w:rPr>
              <w:fldChar w:fldCharType="separate"/>
            </w:r>
            <w:r>
              <w:rPr>
                <w:noProof/>
              </w:rPr>
              <w:t>10</w:t>
            </w:r>
            <w:r>
              <w:rPr>
                <w:noProof/>
              </w:rPr>
              <w:fldChar w:fldCharType="end"/>
            </w:r>
          </w:hyperlink>
        </w:p>
        <w:p w14:paraId="7F1451EB" w14:textId="76FF2053" w:rsidR="00D62174" w:rsidRDefault="00D62174">
          <w:pPr>
            <w:pStyle w:val="TM2"/>
            <w:tabs>
              <w:tab w:val="right" w:leader="dot" w:pos="9350"/>
            </w:tabs>
            <w:rPr>
              <w:noProof/>
            </w:rPr>
          </w:pPr>
          <w:hyperlink w:anchor="_Toc232936374" w:history="1">
            <w:r w:rsidRPr="0013007C">
              <w:rPr>
                <w:rStyle w:val="Hyperlien"/>
                <w:noProof/>
              </w:rPr>
              <w:t>7.2 Les rapports</w:t>
            </w:r>
            <w:r>
              <w:rPr>
                <w:noProof/>
              </w:rPr>
              <w:tab/>
            </w:r>
            <w:r>
              <w:rPr>
                <w:noProof/>
              </w:rPr>
              <w:fldChar w:fldCharType="begin"/>
            </w:r>
            <w:r>
              <w:rPr>
                <w:noProof/>
              </w:rPr>
              <w:instrText xml:space="preserve"> PAGEREF _Toc232936374 \h </w:instrText>
            </w:r>
            <w:r>
              <w:rPr>
                <w:noProof/>
              </w:rPr>
            </w:r>
            <w:r>
              <w:rPr>
                <w:noProof/>
              </w:rPr>
              <w:fldChar w:fldCharType="separate"/>
            </w:r>
            <w:r>
              <w:rPr>
                <w:noProof/>
              </w:rPr>
              <w:t>10</w:t>
            </w:r>
            <w:r>
              <w:rPr>
                <w:noProof/>
              </w:rPr>
              <w:fldChar w:fldCharType="end"/>
            </w:r>
          </w:hyperlink>
        </w:p>
        <w:p w14:paraId="49979909" w14:textId="644F9490" w:rsidR="00D62174" w:rsidRDefault="00D62174">
          <w:pPr>
            <w:pStyle w:val="TM2"/>
            <w:tabs>
              <w:tab w:val="right" w:leader="dot" w:pos="9350"/>
            </w:tabs>
            <w:rPr>
              <w:noProof/>
            </w:rPr>
          </w:pPr>
          <w:hyperlink w:anchor="_Toc232936375" w:history="1">
            <w:r w:rsidRPr="0013007C">
              <w:rPr>
                <w:rStyle w:val="Hyperlien"/>
                <w:noProof/>
              </w:rPr>
              <w:t>7.3 Obligations propres au commissaire aux comptes</w:t>
            </w:r>
            <w:r>
              <w:rPr>
                <w:noProof/>
              </w:rPr>
              <w:tab/>
            </w:r>
            <w:r>
              <w:rPr>
                <w:noProof/>
              </w:rPr>
              <w:fldChar w:fldCharType="begin"/>
            </w:r>
            <w:r>
              <w:rPr>
                <w:noProof/>
              </w:rPr>
              <w:instrText xml:space="preserve"> PAGEREF _Toc232936375 \h </w:instrText>
            </w:r>
            <w:r>
              <w:rPr>
                <w:noProof/>
              </w:rPr>
            </w:r>
            <w:r>
              <w:rPr>
                <w:noProof/>
              </w:rPr>
              <w:fldChar w:fldCharType="separate"/>
            </w:r>
            <w:r>
              <w:rPr>
                <w:noProof/>
              </w:rPr>
              <w:t>10</w:t>
            </w:r>
            <w:r>
              <w:rPr>
                <w:noProof/>
              </w:rPr>
              <w:fldChar w:fldCharType="end"/>
            </w:r>
          </w:hyperlink>
        </w:p>
        <w:p w14:paraId="57D6C110" w14:textId="04E0CEBA" w:rsidR="00D62174" w:rsidRDefault="00D62174">
          <w:pPr>
            <w:pStyle w:val="TM1"/>
            <w:tabs>
              <w:tab w:val="right" w:leader="dot" w:pos="9350"/>
            </w:tabs>
            <w:rPr>
              <w:noProof/>
            </w:rPr>
          </w:pPr>
          <w:hyperlink w:anchor="_Toc232936376" w:history="1">
            <w:r w:rsidRPr="0013007C">
              <w:rPr>
                <w:rStyle w:val="Hyperlien"/>
                <w:noProof/>
              </w:rPr>
              <w:t>8. Le dossier de travail — votre véritable livrable et votre modèle de données</w:t>
            </w:r>
            <w:r>
              <w:rPr>
                <w:noProof/>
              </w:rPr>
              <w:tab/>
            </w:r>
            <w:r>
              <w:rPr>
                <w:noProof/>
              </w:rPr>
              <w:fldChar w:fldCharType="begin"/>
            </w:r>
            <w:r>
              <w:rPr>
                <w:noProof/>
              </w:rPr>
              <w:instrText xml:space="preserve"> PAGEREF _Toc232936376 \h </w:instrText>
            </w:r>
            <w:r>
              <w:rPr>
                <w:noProof/>
              </w:rPr>
            </w:r>
            <w:r>
              <w:rPr>
                <w:noProof/>
              </w:rPr>
              <w:fldChar w:fldCharType="separate"/>
            </w:r>
            <w:r>
              <w:rPr>
                <w:noProof/>
              </w:rPr>
              <w:t>11</w:t>
            </w:r>
            <w:r>
              <w:rPr>
                <w:noProof/>
              </w:rPr>
              <w:fldChar w:fldCharType="end"/>
            </w:r>
          </w:hyperlink>
        </w:p>
        <w:p w14:paraId="64B97800" w14:textId="7E1E988D" w:rsidR="00D62174" w:rsidRDefault="00D62174">
          <w:pPr>
            <w:pStyle w:val="TM2"/>
            <w:tabs>
              <w:tab w:val="right" w:leader="dot" w:pos="9350"/>
            </w:tabs>
            <w:rPr>
              <w:noProof/>
            </w:rPr>
          </w:pPr>
          <w:hyperlink w:anchor="_Toc232936377" w:history="1">
            <w:r w:rsidRPr="0013007C">
              <w:rPr>
                <w:rStyle w:val="Hyperlien"/>
                <w:noProof/>
              </w:rPr>
              <w:t>8.1 Les deux compartiments</w:t>
            </w:r>
            <w:r>
              <w:rPr>
                <w:noProof/>
              </w:rPr>
              <w:tab/>
            </w:r>
            <w:r>
              <w:rPr>
                <w:noProof/>
              </w:rPr>
              <w:fldChar w:fldCharType="begin"/>
            </w:r>
            <w:r>
              <w:rPr>
                <w:noProof/>
              </w:rPr>
              <w:instrText xml:space="preserve"> PAGEREF _Toc232936377 \h </w:instrText>
            </w:r>
            <w:r>
              <w:rPr>
                <w:noProof/>
              </w:rPr>
            </w:r>
            <w:r>
              <w:rPr>
                <w:noProof/>
              </w:rPr>
              <w:fldChar w:fldCharType="separate"/>
            </w:r>
            <w:r>
              <w:rPr>
                <w:noProof/>
              </w:rPr>
              <w:t>11</w:t>
            </w:r>
            <w:r>
              <w:rPr>
                <w:noProof/>
              </w:rPr>
              <w:fldChar w:fldCharType="end"/>
            </w:r>
          </w:hyperlink>
        </w:p>
        <w:p w14:paraId="3A3D7523" w14:textId="0D4D0969" w:rsidR="00D62174" w:rsidRDefault="00D62174">
          <w:pPr>
            <w:pStyle w:val="TM2"/>
            <w:tabs>
              <w:tab w:val="right" w:leader="dot" w:pos="9350"/>
            </w:tabs>
            <w:rPr>
              <w:noProof/>
            </w:rPr>
          </w:pPr>
          <w:hyperlink w:anchor="_Toc232936378" w:history="1">
            <w:r w:rsidRPr="0013007C">
              <w:rPr>
                <w:rStyle w:val="Hyperlien"/>
                <w:noProof/>
              </w:rPr>
              <w:t>8.2 Le principe d’or : traçabilité et supervision</w:t>
            </w:r>
            <w:r>
              <w:rPr>
                <w:noProof/>
              </w:rPr>
              <w:tab/>
            </w:r>
            <w:r>
              <w:rPr>
                <w:noProof/>
              </w:rPr>
              <w:fldChar w:fldCharType="begin"/>
            </w:r>
            <w:r>
              <w:rPr>
                <w:noProof/>
              </w:rPr>
              <w:instrText xml:space="preserve"> PAGEREF _Toc232936378 \h </w:instrText>
            </w:r>
            <w:r>
              <w:rPr>
                <w:noProof/>
              </w:rPr>
            </w:r>
            <w:r>
              <w:rPr>
                <w:noProof/>
              </w:rPr>
              <w:fldChar w:fldCharType="separate"/>
            </w:r>
            <w:r>
              <w:rPr>
                <w:noProof/>
              </w:rPr>
              <w:t>11</w:t>
            </w:r>
            <w:r>
              <w:rPr>
                <w:noProof/>
              </w:rPr>
              <w:fldChar w:fldCharType="end"/>
            </w:r>
          </w:hyperlink>
        </w:p>
        <w:p w14:paraId="62C39116" w14:textId="384FE430" w:rsidR="00D62174" w:rsidRDefault="00D62174">
          <w:pPr>
            <w:pStyle w:val="TM2"/>
            <w:tabs>
              <w:tab w:val="right" w:leader="dot" w:pos="9350"/>
            </w:tabs>
            <w:rPr>
              <w:noProof/>
            </w:rPr>
          </w:pPr>
          <w:hyperlink w:anchor="_Toc232936379" w:history="1">
            <w:r w:rsidRPr="0013007C">
              <w:rPr>
                <w:rStyle w:val="Hyperlien"/>
                <w:noProof/>
              </w:rPr>
              <w:t>8.3 Modèle de données suggéré</w:t>
            </w:r>
            <w:r>
              <w:rPr>
                <w:noProof/>
              </w:rPr>
              <w:tab/>
            </w:r>
            <w:r>
              <w:rPr>
                <w:noProof/>
              </w:rPr>
              <w:fldChar w:fldCharType="begin"/>
            </w:r>
            <w:r>
              <w:rPr>
                <w:noProof/>
              </w:rPr>
              <w:instrText xml:space="preserve"> PAGEREF _Toc232936379 \h </w:instrText>
            </w:r>
            <w:r>
              <w:rPr>
                <w:noProof/>
              </w:rPr>
            </w:r>
            <w:r>
              <w:rPr>
                <w:noProof/>
              </w:rPr>
              <w:fldChar w:fldCharType="separate"/>
            </w:r>
            <w:r>
              <w:rPr>
                <w:noProof/>
              </w:rPr>
              <w:t>11</w:t>
            </w:r>
            <w:r>
              <w:rPr>
                <w:noProof/>
              </w:rPr>
              <w:fldChar w:fldCharType="end"/>
            </w:r>
          </w:hyperlink>
        </w:p>
        <w:p w14:paraId="03A1DCE0" w14:textId="395A351A" w:rsidR="00D62174" w:rsidRDefault="00D62174">
          <w:pPr>
            <w:pStyle w:val="TM1"/>
            <w:tabs>
              <w:tab w:val="right" w:leader="dot" w:pos="9350"/>
            </w:tabs>
            <w:rPr>
              <w:noProof/>
            </w:rPr>
          </w:pPr>
          <w:hyperlink w:anchor="_Toc232936380" w:history="1">
            <w:r w:rsidRPr="0013007C">
              <w:rPr>
                <w:rStyle w:val="Hyperlien"/>
                <w:noProof/>
              </w:rPr>
              <w:t>9. Synthèse des embranchements décisionnels</w:t>
            </w:r>
            <w:r>
              <w:rPr>
                <w:noProof/>
              </w:rPr>
              <w:tab/>
            </w:r>
            <w:r>
              <w:rPr>
                <w:noProof/>
              </w:rPr>
              <w:fldChar w:fldCharType="begin"/>
            </w:r>
            <w:r>
              <w:rPr>
                <w:noProof/>
              </w:rPr>
              <w:instrText xml:space="preserve"> PAGEREF _Toc232936380 \h </w:instrText>
            </w:r>
            <w:r>
              <w:rPr>
                <w:noProof/>
              </w:rPr>
            </w:r>
            <w:r>
              <w:rPr>
                <w:noProof/>
              </w:rPr>
              <w:fldChar w:fldCharType="separate"/>
            </w:r>
            <w:r>
              <w:rPr>
                <w:noProof/>
              </w:rPr>
              <w:t>11</w:t>
            </w:r>
            <w:r>
              <w:rPr>
                <w:noProof/>
              </w:rPr>
              <w:fldChar w:fldCharType="end"/>
            </w:r>
          </w:hyperlink>
        </w:p>
        <w:p w14:paraId="73A335B8" w14:textId="199B3543" w:rsidR="00D62174" w:rsidRDefault="00D62174">
          <w:pPr>
            <w:pStyle w:val="TM1"/>
            <w:tabs>
              <w:tab w:val="right" w:leader="dot" w:pos="9350"/>
            </w:tabs>
            <w:rPr>
              <w:noProof/>
            </w:rPr>
          </w:pPr>
          <w:hyperlink w:anchor="_Toc232936381" w:history="1">
            <w:r w:rsidRPr="0013007C">
              <w:rPr>
                <w:rStyle w:val="Hyperlien"/>
                <w:noProof/>
              </w:rPr>
              <w:t>10. Implications consolidées pour le logiciel d’assistance</w:t>
            </w:r>
            <w:r>
              <w:rPr>
                <w:noProof/>
              </w:rPr>
              <w:tab/>
            </w:r>
            <w:r>
              <w:rPr>
                <w:noProof/>
              </w:rPr>
              <w:fldChar w:fldCharType="begin"/>
            </w:r>
            <w:r>
              <w:rPr>
                <w:noProof/>
              </w:rPr>
              <w:instrText xml:space="preserve"> PAGEREF _Toc232936381 \h </w:instrText>
            </w:r>
            <w:r>
              <w:rPr>
                <w:noProof/>
              </w:rPr>
            </w:r>
            <w:r>
              <w:rPr>
                <w:noProof/>
              </w:rPr>
              <w:fldChar w:fldCharType="separate"/>
            </w:r>
            <w:r>
              <w:rPr>
                <w:noProof/>
              </w:rPr>
              <w:t>12</w:t>
            </w:r>
            <w:r>
              <w:rPr>
                <w:noProof/>
              </w:rPr>
              <w:fldChar w:fldCharType="end"/>
            </w:r>
          </w:hyperlink>
        </w:p>
        <w:p w14:paraId="5750C476" w14:textId="0FE4994E" w:rsidR="00D62174" w:rsidRDefault="00D62174">
          <w:pPr>
            <w:pStyle w:val="TM1"/>
            <w:tabs>
              <w:tab w:val="right" w:leader="dot" w:pos="9350"/>
            </w:tabs>
            <w:rPr>
              <w:noProof/>
            </w:rPr>
          </w:pPr>
          <w:hyperlink w:anchor="_Toc232936382" w:history="1">
            <w:r w:rsidRPr="0013007C">
              <w:rPr>
                <w:rStyle w:val="Hyperlien"/>
                <w:noProof/>
              </w:rPr>
              <w:t>11. Cartographie IA / déterministe</w:t>
            </w:r>
            <w:r>
              <w:rPr>
                <w:noProof/>
              </w:rPr>
              <w:tab/>
            </w:r>
            <w:r>
              <w:rPr>
                <w:noProof/>
              </w:rPr>
              <w:fldChar w:fldCharType="begin"/>
            </w:r>
            <w:r>
              <w:rPr>
                <w:noProof/>
              </w:rPr>
              <w:instrText xml:space="preserve"> PAGEREF _Toc232936382 \h </w:instrText>
            </w:r>
            <w:r>
              <w:rPr>
                <w:noProof/>
              </w:rPr>
            </w:r>
            <w:r>
              <w:rPr>
                <w:noProof/>
              </w:rPr>
              <w:fldChar w:fldCharType="separate"/>
            </w:r>
            <w:r>
              <w:rPr>
                <w:noProof/>
              </w:rPr>
              <w:t>12</w:t>
            </w:r>
            <w:r>
              <w:rPr>
                <w:noProof/>
              </w:rPr>
              <w:fldChar w:fldCharType="end"/>
            </w:r>
          </w:hyperlink>
        </w:p>
        <w:p w14:paraId="508DBD01" w14:textId="7AC5F73A" w:rsidR="00D62174" w:rsidRDefault="00D62174">
          <w:pPr>
            <w:pStyle w:val="TM1"/>
            <w:tabs>
              <w:tab w:val="right" w:leader="dot" w:pos="9350"/>
            </w:tabs>
            <w:rPr>
              <w:noProof/>
            </w:rPr>
          </w:pPr>
          <w:hyperlink w:anchor="_Toc232936383" w:history="1">
            <w:r w:rsidRPr="0013007C">
              <w:rPr>
                <w:rStyle w:val="Hyperlien"/>
                <w:noProof/>
              </w:rPr>
              <w:t>12. Glossaire</w:t>
            </w:r>
            <w:r>
              <w:rPr>
                <w:noProof/>
              </w:rPr>
              <w:tab/>
            </w:r>
            <w:r>
              <w:rPr>
                <w:noProof/>
              </w:rPr>
              <w:fldChar w:fldCharType="begin"/>
            </w:r>
            <w:r>
              <w:rPr>
                <w:noProof/>
              </w:rPr>
              <w:instrText xml:space="preserve"> PAGEREF _Toc232936383 \h </w:instrText>
            </w:r>
            <w:r>
              <w:rPr>
                <w:noProof/>
              </w:rPr>
            </w:r>
            <w:r>
              <w:rPr>
                <w:noProof/>
              </w:rPr>
              <w:fldChar w:fldCharType="separate"/>
            </w:r>
            <w:r>
              <w:rPr>
                <w:noProof/>
              </w:rPr>
              <w:t>13</w:t>
            </w:r>
            <w:r>
              <w:rPr>
                <w:noProof/>
              </w:rPr>
              <w:fldChar w:fldCharType="end"/>
            </w:r>
          </w:hyperlink>
        </w:p>
        <w:p w14:paraId="6898BCE8" w14:textId="006A46C9" w:rsidR="00D62174" w:rsidRDefault="00D62174">
          <w:pPr>
            <w:pStyle w:val="TM1"/>
            <w:tabs>
              <w:tab w:val="right" w:leader="dot" w:pos="9350"/>
            </w:tabs>
            <w:rPr>
              <w:noProof/>
            </w:rPr>
          </w:pPr>
          <w:hyperlink w:anchor="_Toc232936384" w:history="1">
            <w:r w:rsidRPr="0013007C">
              <w:rPr>
                <w:rStyle w:val="Hyperlien"/>
                <w:noProof/>
              </w:rPr>
              <w:t>Annexe — Le cycle ventes-clients traité de bout en bout</w:t>
            </w:r>
            <w:r>
              <w:rPr>
                <w:noProof/>
              </w:rPr>
              <w:tab/>
            </w:r>
            <w:r>
              <w:rPr>
                <w:noProof/>
              </w:rPr>
              <w:fldChar w:fldCharType="begin"/>
            </w:r>
            <w:r>
              <w:rPr>
                <w:noProof/>
              </w:rPr>
              <w:instrText xml:space="preserve"> PAGEREF _Toc232936384 \h </w:instrText>
            </w:r>
            <w:r>
              <w:rPr>
                <w:noProof/>
              </w:rPr>
            </w:r>
            <w:r>
              <w:rPr>
                <w:noProof/>
              </w:rPr>
              <w:fldChar w:fldCharType="separate"/>
            </w:r>
            <w:r>
              <w:rPr>
                <w:noProof/>
              </w:rPr>
              <w:t>15</w:t>
            </w:r>
            <w:r>
              <w:rPr>
                <w:noProof/>
              </w:rPr>
              <w:fldChar w:fldCharType="end"/>
            </w:r>
          </w:hyperlink>
        </w:p>
        <w:p w14:paraId="4693FF8D" w14:textId="553319C1" w:rsidR="00D62174" w:rsidRDefault="00D62174">
          <w:pPr>
            <w:pStyle w:val="TM2"/>
            <w:tabs>
              <w:tab w:val="right" w:leader="dot" w:pos="9350"/>
            </w:tabs>
            <w:rPr>
              <w:noProof/>
            </w:rPr>
          </w:pPr>
          <w:hyperlink w:anchor="_Toc232936385" w:history="1">
            <w:r w:rsidRPr="0013007C">
              <w:rPr>
                <w:rStyle w:val="Hyperlien"/>
                <w:noProof/>
              </w:rPr>
              <w:t>A.1 Comprendre le cycle (planification)</w:t>
            </w:r>
            <w:r>
              <w:rPr>
                <w:noProof/>
              </w:rPr>
              <w:tab/>
            </w:r>
            <w:r>
              <w:rPr>
                <w:noProof/>
              </w:rPr>
              <w:fldChar w:fldCharType="begin"/>
            </w:r>
            <w:r>
              <w:rPr>
                <w:noProof/>
              </w:rPr>
              <w:instrText xml:space="preserve"> PAGEREF _Toc232936385 \h </w:instrText>
            </w:r>
            <w:r>
              <w:rPr>
                <w:noProof/>
              </w:rPr>
            </w:r>
            <w:r>
              <w:rPr>
                <w:noProof/>
              </w:rPr>
              <w:fldChar w:fldCharType="separate"/>
            </w:r>
            <w:r>
              <w:rPr>
                <w:noProof/>
              </w:rPr>
              <w:t>15</w:t>
            </w:r>
            <w:r>
              <w:rPr>
                <w:noProof/>
              </w:rPr>
              <w:fldChar w:fldCharType="end"/>
            </w:r>
          </w:hyperlink>
        </w:p>
        <w:p w14:paraId="36BF93F2" w14:textId="7128901B" w:rsidR="00D62174" w:rsidRDefault="00D62174">
          <w:pPr>
            <w:pStyle w:val="TM2"/>
            <w:tabs>
              <w:tab w:val="right" w:leader="dot" w:pos="9350"/>
            </w:tabs>
            <w:rPr>
              <w:noProof/>
            </w:rPr>
          </w:pPr>
          <w:hyperlink w:anchor="_Toc232936386" w:history="1">
            <w:r w:rsidRPr="0013007C">
              <w:rPr>
                <w:rStyle w:val="Hyperlien"/>
                <w:noProof/>
              </w:rPr>
              <w:t>A.2 Apprécier le contrôle interne</w:t>
            </w:r>
            <w:r>
              <w:rPr>
                <w:noProof/>
              </w:rPr>
              <w:tab/>
            </w:r>
            <w:r>
              <w:rPr>
                <w:noProof/>
              </w:rPr>
              <w:fldChar w:fldCharType="begin"/>
            </w:r>
            <w:r>
              <w:rPr>
                <w:noProof/>
              </w:rPr>
              <w:instrText xml:space="preserve"> PAGEREF _Toc232936386 \h </w:instrText>
            </w:r>
            <w:r>
              <w:rPr>
                <w:noProof/>
              </w:rPr>
            </w:r>
            <w:r>
              <w:rPr>
                <w:noProof/>
              </w:rPr>
              <w:fldChar w:fldCharType="separate"/>
            </w:r>
            <w:r>
              <w:rPr>
                <w:noProof/>
              </w:rPr>
              <w:t>15</w:t>
            </w:r>
            <w:r>
              <w:rPr>
                <w:noProof/>
              </w:rPr>
              <w:fldChar w:fldCharType="end"/>
            </w:r>
          </w:hyperlink>
        </w:p>
        <w:p w14:paraId="6E9B8EF1" w14:textId="319D42F2" w:rsidR="00D62174" w:rsidRDefault="00D62174">
          <w:pPr>
            <w:pStyle w:val="TM2"/>
            <w:tabs>
              <w:tab w:val="right" w:leader="dot" w:pos="9350"/>
            </w:tabs>
            <w:rPr>
              <w:noProof/>
            </w:rPr>
          </w:pPr>
          <w:hyperlink w:anchor="_Toc232936387" w:history="1">
            <w:r w:rsidRPr="0013007C">
              <w:rPr>
                <w:rStyle w:val="Hyperlien"/>
                <w:noProof/>
              </w:rPr>
              <w:t>A.3 Contrôler les comptes</w:t>
            </w:r>
            <w:r>
              <w:rPr>
                <w:noProof/>
              </w:rPr>
              <w:tab/>
            </w:r>
            <w:r>
              <w:rPr>
                <w:noProof/>
              </w:rPr>
              <w:fldChar w:fldCharType="begin"/>
            </w:r>
            <w:r>
              <w:rPr>
                <w:noProof/>
              </w:rPr>
              <w:instrText xml:space="preserve"> PAGEREF _Toc232936387 \h </w:instrText>
            </w:r>
            <w:r>
              <w:rPr>
                <w:noProof/>
              </w:rPr>
            </w:r>
            <w:r>
              <w:rPr>
                <w:noProof/>
              </w:rPr>
              <w:fldChar w:fldCharType="separate"/>
            </w:r>
            <w:r>
              <w:rPr>
                <w:noProof/>
              </w:rPr>
              <w:t>15</w:t>
            </w:r>
            <w:r>
              <w:rPr>
                <w:noProof/>
              </w:rPr>
              <w:fldChar w:fldCharType="end"/>
            </w:r>
          </w:hyperlink>
        </w:p>
        <w:p w14:paraId="60C7A032" w14:textId="0DF5ED2A" w:rsidR="00D62174" w:rsidRDefault="00D62174">
          <w:pPr>
            <w:pStyle w:val="TM2"/>
            <w:tabs>
              <w:tab w:val="right" w:leader="dot" w:pos="9350"/>
            </w:tabs>
            <w:rPr>
              <w:noProof/>
            </w:rPr>
          </w:pPr>
          <w:hyperlink w:anchor="_Toc232936388" w:history="1">
            <w:r w:rsidRPr="0013007C">
              <w:rPr>
                <w:rStyle w:val="Hyperlien"/>
                <w:noProof/>
              </w:rPr>
              <w:t>A.4 Conclure</w:t>
            </w:r>
            <w:r>
              <w:rPr>
                <w:noProof/>
              </w:rPr>
              <w:tab/>
            </w:r>
            <w:r>
              <w:rPr>
                <w:noProof/>
              </w:rPr>
              <w:fldChar w:fldCharType="begin"/>
            </w:r>
            <w:r>
              <w:rPr>
                <w:noProof/>
              </w:rPr>
              <w:instrText xml:space="preserve"> PAGEREF _Toc232936388 \h </w:instrText>
            </w:r>
            <w:r>
              <w:rPr>
                <w:noProof/>
              </w:rPr>
            </w:r>
            <w:r>
              <w:rPr>
                <w:noProof/>
              </w:rPr>
              <w:fldChar w:fldCharType="separate"/>
            </w:r>
            <w:r>
              <w:rPr>
                <w:noProof/>
              </w:rPr>
              <w:t>15</w:t>
            </w:r>
            <w:r>
              <w:rPr>
                <w:noProof/>
              </w:rPr>
              <w:fldChar w:fldCharType="end"/>
            </w:r>
          </w:hyperlink>
        </w:p>
        <w:p w14:paraId="655986B0" w14:textId="77777777" w:rsidR="0027777C" w:rsidRDefault="00000000">
          <w:r>
            <w:fldChar w:fldCharType="end"/>
          </w:r>
        </w:p>
      </w:sdtContent>
    </w:sdt>
    <w:p w14:paraId="3690F6B0" w14:textId="77777777" w:rsidR="0027777C" w:rsidRDefault="00000000">
      <w:r>
        <w:br w:type="page"/>
      </w:r>
    </w:p>
    <w:p w14:paraId="7254953A" w14:textId="77777777" w:rsidR="0027777C" w:rsidRDefault="00000000">
      <w:pPr>
        <w:pStyle w:val="Titre1"/>
      </w:pPr>
      <w:bookmarkStart w:id="0" w:name="_Toc232936351"/>
      <w:r>
        <w:lastRenderedPageBreak/>
        <w:t>0. Comment lire ce document</w:t>
      </w:r>
      <w:bookmarkEnd w:id="0"/>
    </w:p>
    <w:p w14:paraId="31EDC35D" w14:textId="77777777" w:rsidR="0027777C" w:rsidRDefault="00000000">
      <w:pPr>
        <w:spacing w:after="120" w:line="276" w:lineRule="auto"/>
      </w:pPr>
      <w:r>
        <w:t>Ce document décrit le déroulement d’un audit comptable tel qu’il est pratiqué par un cabinet de commissariat aux comptes ou un auditeur contractuel. Il est conçu comme une référence pour concevoir un logiciel d’assistance : chaque phase métier est décrite puis traduite en implications concrètes pour l’outil.</w:t>
      </w:r>
    </w:p>
    <w:p w14:paraId="096C92D7" w14:textId="77777777" w:rsidR="0027777C" w:rsidRDefault="00000000">
      <w:pPr>
        <w:spacing w:after="120" w:line="276" w:lineRule="auto"/>
      </w:pPr>
      <w:r>
        <w:t xml:space="preserve">Trois types d’encadrés rythment le texte : </w:t>
      </w:r>
    </w:p>
    <w:p w14:paraId="254A0398" w14:textId="77777777" w:rsidR="0027777C" w:rsidRDefault="00000000">
      <w:pPr>
        <w:pStyle w:val="Paragraphedeliste"/>
        <w:numPr>
          <w:ilvl w:val="0"/>
          <w:numId w:val="2"/>
        </w:numPr>
        <w:spacing w:after="60" w:line="270" w:lineRule="auto"/>
      </w:pPr>
      <w:r>
        <w:rPr>
          <w:b/>
          <w:bCs/>
          <w:color w:val="085041"/>
        </w:rPr>
        <w:t>Pour le logiciel</w:t>
      </w:r>
      <w:r>
        <w:t xml:space="preserve"> — ce que l’étape implique en termes de fonctionnalités, de données ou d’ergonomie.</w:t>
      </w:r>
    </w:p>
    <w:p w14:paraId="2378AE9E" w14:textId="77777777" w:rsidR="0027777C" w:rsidRDefault="00000000">
      <w:pPr>
        <w:pStyle w:val="Paragraphedeliste"/>
        <w:numPr>
          <w:ilvl w:val="0"/>
          <w:numId w:val="2"/>
        </w:numPr>
        <w:spacing w:after="60" w:line="270" w:lineRule="auto"/>
      </w:pPr>
      <w:r>
        <w:rPr>
          <w:b/>
          <w:bCs/>
          <w:color w:val="9A6A10"/>
        </w:rPr>
        <w:t>Embranchement</w:t>
      </w:r>
      <w:r>
        <w:t xml:space="preserve"> — les bifurcations où le déroulement change selon une décision ou un constat.</w:t>
      </w:r>
    </w:p>
    <w:p w14:paraId="67CFB96A" w14:textId="77777777" w:rsidR="0027777C" w:rsidRDefault="00000000">
      <w:pPr>
        <w:pStyle w:val="Paragraphedeliste"/>
        <w:numPr>
          <w:ilvl w:val="0"/>
          <w:numId w:val="2"/>
        </w:numPr>
        <w:spacing w:after="60" w:line="270" w:lineRule="auto"/>
      </w:pPr>
      <w:r>
        <w:rPr>
          <w:b/>
          <w:bCs/>
          <w:color w:val="1D9E75"/>
        </w:rPr>
        <w:t>Livrable(s)</w:t>
      </w:r>
      <w:r>
        <w:t xml:space="preserve"> — le ou les documents produits à la fin de la phase.</w:t>
      </w:r>
    </w:p>
    <w:p w14:paraId="2709056E" w14:textId="77777777" w:rsidR="0027777C" w:rsidRDefault="00000000">
      <w:pPr>
        <w:spacing w:after="120" w:line="276" w:lineRule="auto"/>
      </w:pPr>
      <w:r>
        <w:t>Le vocabulaire est celui de la tradition francophone (commissaire aux comptes, certification, réserve…), qui correspond au marché visé. La méthodologie sous-jacente est commune aux Normes d’Exercice Professionnel (NEP) et aux normes internationales d’audit (ISA), largement convergentes.</w:t>
      </w:r>
    </w:p>
    <w:p w14:paraId="20221259" w14:textId="77777777" w:rsidR="0027777C" w:rsidRDefault="0027777C">
      <w:pPr>
        <w:spacing w:after="120"/>
      </w:pPr>
    </w:p>
    <w:p w14:paraId="56269B73" w14:textId="77777777" w:rsidR="0027777C" w:rsidRDefault="00000000">
      <w:pPr>
        <w:pStyle w:val="Titre1"/>
      </w:pPr>
      <w:bookmarkStart w:id="1" w:name="_Toc232936352"/>
      <w:r>
        <w:t>1. Vue d’ensemble et cadre</w:t>
      </w:r>
      <w:bookmarkEnd w:id="1"/>
    </w:p>
    <w:p w14:paraId="222670AF" w14:textId="77777777" w:rsidR="0027777C" w:rsidRDefault="00000000">
      <w:pPr>
        <w:pStyle w:val="Titre2"/>
      </w:pPr>
      <w:bookmarkStart w:id="2" w:name="_Toc232936353"/>
      <w:r>
        <w:t>1.1 Les deux grandes familles d’audit</w:t>
      </w:r>
      <w:bookmarkEnd w:id="2"/>
    </w:p>
    <w:p w14:paraId="37BD9E40" w14:textId="77777777" w:rsidR="0027777C" w:rsidRDefault="00000000">
      <w:pPr>
        <w:spacing w:after="120" w:line="276" w:lineRule="auto"/>
      </w:pPr>
      <w:r>
        <w:t>Avant toute chose, il faut distinguer deux contextes qui partagent la même méthode mais pas le même cadre juridique.</w:t>
      </w:r>
    </w:p>
    <w:p w14:paraId="006CCB54" w14:textId="77777777" w:rsidR="0027777C" w:rsidRDefault="00000000">
      <w:pPr>
        <w:spacing w:after="120" w:line="276" w:lineRule="auto"/>
      </w:pPr>
      <w:r>
        <w:rPr>
          <w:b/>
          <w:bCs/>
          <w:color w:val="085041"/>
        </w:rPr>
        <w:t xml:space="preserve">Audit légal (commissariat aux comptes). </w:t>
      </w:r>
      <w:r>
        <w:t>Obligatoire pour certaines entités selon des seuils (chiffre d’affaires, total de bilan, effectif) ou selon la forme juridique. Le commissaire aux comptes (CAC) est nommé par l’assemblée générale, pour un mandat pluriannuel (six ans dans la tradition française et OHADA). Il a des obligations légales envers les tiers et sa mission aboutit à une certification des comptes.</w:t>
      </w:r>
    </w:p>
    <w:p w14:paraId="68C11354" w14:textId="77777777" w:rsidR="0027777C" w:rsidRDefault="00000000">
      <w:pPr>
        <w:spacing w:after="120" w:line="276" w:lineRule="auto"/>
      </w:pPr>
      <w:r>
        <w:rPr>
          <w:b/>
          <w:bCs/>
          <w:color w:val="085041"/>
        </w:rPr>
        <w:t xml:space="preserve">Audit contractuel. </w:t>
      </w:r>
      <w:r>
        <w:t>Demandé volontairement (banque, investisseur, acquéreur, dirigeant). Le périmètre est librement négocié ; il n’y a pas de certification au sens légal, mais un rapport d’opinion ou de constats.</w:t>
      </w:r>
    </w:p>
    <w:p w14:paraId="520F7819" w14:textId="77777777" w:rsidR="0027777C" w:rsidRDefault="00000000">
      <w:pPr>
        <w:pBdr>
          <w:left w:val="single" w:sz="18" w:space="12" w:color="E8A020"/>
        </w:pBdr>
        <w:spacing w:before="40" w:after="80" w:line="272" w:lineRule="auto"/>
        <w:ind w:left="240"/>
      </w:pPr>
      <w:r>
        <w:rPr>
          <w:b/>
          <w:bCs/>
          <w:color w:val="9A6A10"/>
        </w:rPr>
        <w:t xml:space="preserve">Embranchement — </w:t>
      </w:r>
      <w:r>
        <w:t>Tout l’outil doit savoir, dès l’ouverture d’un dossier, à quelle famille il appartient : le type d’audit conditionne les obligations, les livrables et certaines procédures spécifiques (alerte, révélation, conventions réglementées) qui n’existent qu’en légal.</w:t>
      </w:r>
    </w:p>
    <w:p w14:paraId="367F42AE" w14:textId="77777777" w:rsidR="0027777C" w:rsidRDefault="00000000">
      <w:pPr>
        <w:pBdr>
          <w:left w:val="single" w:sz="18" w:space="12" w:color="1D9E75"/>
        </w:pBdr>
        <w:shd w:val="clear" w:color="auto" w:fill="F2F6F4"/>
        <w:spacing w:before="80" w:after="160" w:line="272" w:lineRule="auto"/>
        <w:ind w:left="240"/>
      </w:pPr>
      <w:r>
        <w:rPr>
          <w:b/>
          <w:bCs/>
          <w:color w:val="085041"/>
        </w:rPr>
        <w:t xml:space="preserve">Pour le logiciel — </w:t>
      </w:r>
      <w:r>
        <w:t>Prévoir un attribut « nature de mission » (légale / contractuelle) au niveau du projet, qui active ou masque des modules entiers. C’est une variable structurante, pas un simple champ descriptif.</w:t>
      </w:r>
    </w:p>
    <w:p w14:paraId="4B2DE0C1" w14:textId="77777777" w:rsidR="0027777C" w:rsidRDefault="00000000">
      <w:pPr>
        <w:pStyle w:val="Titre2"/>
      </w:pPr>
      <w:bookmarkStart w:id="3" w:name="_Toc232936354"/>
      <w:r>
        <w:t>1.2 Le cadre normatif</w:t>
      </w:r>
      <w:bookmarkEnd w:id="3"/>
    </w:p>
    <w:p w14:paraId="3A143A42" w14:textId="77777777" w:rsidR="0027777C" w:rsidRDefault="00000000">
      <w:pPr>
        <w:spacing w:after="120" w:line="276" w:lineRule="auto"/>
      </w:pPr>
      <w:r>
        <w:lastRenderedPageBreak/>
        <w:t>L’audit n’est pas libre : il suit un référentiel de normes (NEP en contexte francophone, ISA à l’international). Ces normes imposent une démarche par les risques, un seuil de signification, une documentation traçable et une supervision. Localement, l’exercice s’appuie aussi sur le référentiel comptable applicable (plan comptable national ou OHADA selon le cas) et sur l’autorité de tutelle de la profession.</w:t>
      </w:r>
    </w:p>
    <w:p w14:paraId="350BD044" w14:textId="77777777" w:rsidR="0027777C" w:rsidRDefault="00000000">
      <w:pPr>
        <w:pBdr>
          <w:left w:val="single" w:sz="18" w:space="12" w:color="1D9E75"/>
        </w:pBdr>
        <w:shd w:val="clear" w:color="auto" w:fill="F2F6F4"/>
        <w:spacing w:before="80" w:after="160" w:line="272" w:lineRule="auto"/>
        <w:ind w:left="240"/>
      </w:pPr>
      <w:r>
        <w:rPr>
          <w:b/>
          <w:bCs/>
          <w:color w:val="085041"/>
        </w:rPr>
        <w:t xml:space="preserve">Pour le logiciel — </w:t>
      </w:r>
      <w:r>
        <w:t>Le référentiel applicable (normes d’audit, plan comptable) gagne à être paramétrable par dossier. Les libellés de comptes, les seuils par défaut et les modèles de rapport en dépendent.</w:t>
      </w:r>
    </w:p>
    <w:p w14:paraId="214195D3" w14:textId="77777777" w:rsidR="0027777C" w:rsidRDefault="00000000">
      <w:pPr>
        <w:pStyle w:val="Titre2"/>
      </w:pPr>
      <w:bookmarkStart w:id="4" w:name="_Toc232936355"/>
      <w:r>
        <w:t>1.3 Le fil rouge : risque, preuve, opinion</w:t>
      </w:r>
      <w:bookmarkEnd w:id="4"/>
    </w:p>
    <w:p w14:paraId="6C1D8050" w14:textId="77777777" w:rsidR="0027777C" w:rsidRDefault="00000000">
      <w:pPr>
        <w:spacing w:after="120" w:line="276" w:lineRule="auto"/>
      </w:pPr>
      <w:r>
        <w:t>Toute la mission obéit à une logique simple en trois temps, qu’il est utile de garder en tête pour structurer l’outil :</w:t>
      </w:r>
    </w:p>
    <w:p w14:paraId="42D073E6" w14:textId="77777777" w:rsidR="0027777C" w:rsidRDefault="00000000">
      <w:pPr>
        <w:pStyle w:val="Paragraphedeliste"/>
        <w:numPr>
          <w:ilvl w:val="0"/>
          <w:numId w:val="3"/>
        </w:numPr>
        <w:spacing w:after="80" w:line="272" w:lineRule="auto"/>
      </w:pPr>
      <w:r>
        <w:rPr>
          <w:b/>
          <w:bCs/>
        </w:rPr>
        <w:t xml:space="preserve">Identifier le risque </w:t>
      </w:r>
      <w:r>
        <w:t>— où les comptes pourraient-ils être faux ?</w:t>
      </w:r>
    </w:p>
    <w:p w14:paraId="51FB1BB1" w14:textId="77777777" w:rsidR="0027777C" w:rsidRDefault="00000000">
      <w:pPr>
        <w:pStyle w:val="Paragraphedeliste"/>
        <w:numPr>
          <w:ilvl w:val="0"/>
          <w:numId w:val="3"/>
        </w:numPr>
        <w:spacing w:after="80" w:line="272" w:lineRule="auto"/>
      </w:pPr>
      <w:r>
        <w:rPr>
          <w:b/>
          <w:bCs/>
        </w:rPr>
        <w:t xml:space="preserve">Réunir la preuve </w:t>
      </w:r>
      <w:r>
        <w:t>— collecter des éléments suffisants et appropriés pour réduire ce risque.</w:t>
      </w:r>
    </w:p>
    <w:p w14:paraId="296226AD" w14:textId="77777777" w:rsidR="0027777C" w:rsidRDefault="00000000">
      <w:pPr>
        <w:pStyle w:val="Paragraphedeliste"/>
        <w:numPr>
          <w:ilvl w:val="0"/>
          <w:numId w:val="3"/>
        </w:numPr>
        <w:spacing w:after="80" w:line="272" w:lineRule="auto"/>
      </w:pPr>
      <w:r>
        <w:rPr>
          <w:b/>
          <w:bCs/>
        </w:rPr>
        <w:t xml:space="preserve">Former l’opinion </w:t>
      </w:r>
      <w:r>
        <w:t>— conclure et le justifier par le dossier de travail.</w:t>
      </w:r>
    </w:p>
    <w:p w14:paraId="3572785D" w14:textId="77777777" w:rsidR="0027777C" w:rsidRDefault="0027777C">
      <w:pPr>
        <w:spacing w:after="120"/>
      </w:pPr>
    </w:p>
    <w:p w14:paraId="03806680" w14:textId="77777777" w:rsidR="0027777C" w:rsidRDefault="00000000">
      <w:pPr>
        <w:pStyle w:val="Titre1"/>
      </w:pPr>
      <w:bookmarkStart w:id="5" w:name="_Toc232936356"/>
      <w:r>
        <w:t>2. Phase 0 — Acceptation ou maintien de la mission</w:t>
      </w:r>
      <w:bookmarkEnd w:id="5"/>
    </w:p>
    <w:p w14:paraId="6FE8E063" w14:textId="77777777" w:rsidR="0027777C" w:rsidRDefault="00000000">
      <w:pPr>
        <w:spacing w:after="120" w:line="276" w:lineRule="auto"/>
      </w:pPr>
      <w:r>
        <w:rPr>
          <w:b/>
          <w:bCs/>
          <w:color w:val="085041"/>
        </w:rPr>
        <w:t xml:space="preserve">Objectif. </w:t>
      </w:r>
      <w:r>
        <w:t>Décider si l’auditeur prend ou conserve le client, et fixer le contrat de la mission.</w:t>
      </w:r>
    </w:p>
    <w:p w14:paraId="53F53664" w14:textId="77777777" w:rsidR="0027777C" w:rsidRDefault="00000000">
      <w:pPr>
        <w:pStyle w:val="Titre2"/>
      </w:pPr>
      <w:bookmarkStart w:id="6" w:name="_Toc232936357"/>
      <w:r>
        <w:t>2.1 Déroulement</w:t>
      </w:r>
      <w:bookmarkEnd w:id="6"/>
    </w:p>
    <w:p w14:paraId="0134810F" w14:textId="77777777" w:rsidR="0027777C" w:rsidRDefault="00000000">
      <w:pPr>
        <w:pStyle w:val="Paragraphedeliste"/>
        <w:numPr>
          <w:ilvl w:val="0"/>
          <w:numId w:val="4"/>
        </w:numPr>
        <w:spacing w:after="80" w:line="272" w:lineRule="auto"/>
      </w:pPr>
      <w:r>
        <w:t>Prise de contact et premières informations sur l’entité (activité, taille, dirigeants, contexte).</w:t>
      </w:r>
    </w:p>
    <w:p w14:paraId="5647D10C" w14:textId="77777777" w:rsidR="0027777C" w:rsidRDefault="00000000">
      <w:pPr>
        <w:pStyle w:val="Paragraphedeliste"/>
        <w:numPr>
          <w:ilvl w:val="0"/>
          <w:numId w:val="4"/>
        </w:numPr>
        <w:spacing w:after="80" w:line="272" w:lineRule="auto"/>
      </w:pPr>
      <w:r>
        <w:t>Évaluation de l’indépendance : aucun lien financier, familial ou d’intérêt avec le client ; respect des incompatibilités légales en audit légal.</w:t>
      </w:r>
    </w:p>
    <w:p w14:paraId="1C2BA6D5" w14:textId="77777777" w:rsidR="0027777C" w:rsidRDefault="00000000">
      <w:pPr>
        <w:pStyle w:val="Paragraphedeliste"/>
        <w:numPr>
          <w:ilvl w:val="0"/>
          <w:numId w:val="4"/>
        </w:numPr>
        <w:spacing w:after="80" w:line="272" w:lineRule="auto"/>
      </w:pPr>
      <w:r>
        <w:t>Évaluation de la compétence et des ressources : maîtrise du secteur, disponibilité des équipes, calendrier réaliste.</w:t>
      </w:r>
    </w:p>
    <w:p w14:paraId="51AC06C7" w14:textId="77777777" w:rsidR="0027777C" w:rsidRDefault="00000000">
      <w:pPr>
        <w:pStyle w:val="Paragraphedeliste"/>
        <w:numPr>
          <w:ilvl w:val="0"/>
          <w:numId w:val="4"/>
        </w:numPr>
        <w:spacing w:after="80" w:line="272" w:lineRule="auto"/>
      </w:pPr>
      <w:r>
        <w:t>Évaluation du risque client : intégrité des dirigeants, santé financière, secteur sensible, antécédents, motifs de la demande.</w:t>
      </w:r>
    </w:p>
    <w:p w14:paraId="4F8CF27C" w14:textId="77777777" w:rsidR="0027777C" w:rsidRDefault="00000000">
      <w:pPr>
        <w:pStyle w:val="Paragraphedeliste"/>
        <w:numPr>
          <w:ilvl w:val="0"/>
          <w:numId w:val="4"/>
        </w:numPr>
        <w:spacing w:after="80" w:line="272" w:lineRule="auto"/>
      </w:pPr>
      <w:r>
        <w:t>En cas de succession à un confrère : prise de contact avec le prédécesseur. En première année : examen renforcé des soldes d’ouverture.</w:t>
      </w:r>
    </w:p>
    <w:p w14:paraId="6D3F51FD" w14:textId="77777777" w:rsidR="0027777C" w:rsidRDefault="00000000">
      <w:pPr>
        <w:pStyle w:val="Paragraphedeliste"/>
        <w:numPr>
          <w:ilvl w:val="0"/>
          <w:numId w:val="4"/>
        </w:numPr>
        <w:spacing w:after="80" w:line="272" w:lineRule="auto"/>
      </w:pPr>
      <w:r>
        <w:t>Rédaction et signature de la lettre de mission.</w:t>
      </w:r>
    </w:p>
    <w:p w14:paraId="31395A09" w14:textId="77777777" w:rsidR="0027777C" w:rsidRDefault="00000000">
      <w:pPr>
        <w:pBdr>
          <w:left w:val="single" w:sz="18" w:space="12" w:color="E8A020"/>
        </w:pBdr>
        <w:spacing w:before="40" w:after="80" w:line="272" w:lineRule="auto"/>
        <w:ind w:left="240"/>
      </w:pPr>
      <w:r>
        <w:rPr>
          <w:b/>
          <w:bCs/>
          <w:color w:val="9A6A10"/>
        </w:rPr>
        <w:t xml:space="preserve">Embranchement — </w:t>
      </w:r>
      <w:r>
        <w:t>Si le risque est jugé inacceptable, la mission est refusée ou le mandat non renouvelé — c’est une sortie possible du processus, qu’il faut pouvoir tracer.</w:t>
      </w:r>
    </w:p>
    <w:p w14:paraId="003FE051" w14:textId="77777777" w:rsidR="0027777C" w:rsidRDefault="00000000">
      <w:pPr>
        <w:pBdr>
          <w:left w:val="single" w:sz="18" w:space="12" w:color="E8A020"/>
        </w:pBdr>
        <w:spacing w:before="40" w:after="80" w:line="272" w:lineRule="auto"/>
        <w:ind w:left="240"/>
      </w:pPr>
      <w:r>
        <w:rPr>
          <w:b/>
          <w:bCs/>
          <w:color w:val="9A6A10"/>
        </w:rPr>
        <w:t xml:space="preserve">Embranchement — </w:t>
      </w:r>
      <w:r>
        <w:t>Première mission vs mission récurrente : en première mission, la prise de connaissance et le contrôle des soldes d’ouverture sont plus lourds ; en récurrent, on met à jour l’existant.</w:t>
      </w:r>
    </w:p>
    <w:p w14:paraId="2D8D3D1F" w14:textId="77777777" w:rsidR="0027777C" w:rsidRDefault="00000000">
      <w:pPr>
        <w:spacing w:before="40" w:after="120" w:line="272" w:lineRule="auto"/>
      </w:pPr>
      <w:r>
        <w:rPr>
          <w:b/>
          <w:bCs/>
          <w:color w:val="1D9E75"/>
        </w:rPr>
        <w:t xml:space="preserve">Livrable(s) : </w:t>
      </w:r>
      <w:r>
        <w:rPr>
          <w:i/>
          <w:iCs/>
        </w:rPr>
        <w:t>Lettre de mission (périmètre, responsabilités respectives, calendrier, honoraires) ; fiche d’acceptation/maintien documentant l’analyse d’indépendance et de risque.</w:t>
      </w:r>
    </w:p>
    <w:p w14:paraId="1E6EA2DC" w14:textId="77777777" w:rsidR="0027777C" w:rsidRDefault="00000000">
      <w:pPr>
        <w:pBdr>
          <w:left w:val="single" w:sz="18" w:space="12" w:color="1D9E75"/>
        </w:pBdr>
        <w:shd w:val="clear" w:color="auto" w:fill="F2F6F4"/>
        <w:spacing w:before="80" w:after="160" w:line="272" w:lineRule="auto"/>
        <w:ind w:left="240"/>
      </w:pPr>
      <w:r>
        <w:rPr>
          <w:b/>
          <w:bCs/>
          <w:color w:val="085041"/>
        </w:rPr>
        <w:lastRenderedPageBreak/>
        <w:t xml:space="preserve">Pour le logiciel — </w:t>
      </w:r>
      <w:r>
        <w:t>C’est l’étape de création d’un dossier dans l’outil. Prévoir un questionnaire d’acceptation structuré (indépendance, risque, ressources) avec décision tracée et horodatée, et la génération de la lettre de mission depuis un modèle. La distinction première année / récurrent doit être un attribut du dossier.</w:t>
      </w:r>
    </w:p>
    <w:p w14:paraId="156A968F" w14:textId="77777777" w:rsidR="0027777C" w:rsidRDefault="0027777C">
      <w:pPr>
        <w:spacing w:after="120"/>
      </w:pPr>
    </w:p>
    <w:p w14:paraId="351EAE1D" w14:textId="77777777" w:rsidR="0027777C" w:rsidRDefault="00000000">
      <w:pPr>
        <w:pStyle w:val="Titre1"/>
      </w:pPr>
      <w:bookmarkStart w:id="7" w:name="_Toc232936358"/>
      <w:r>
        <w:t>3. Phase 1 — Planification (orientation et stratégie)</w:t>
      </w:r>
      <w:bookmarkEnd w:id="7"/>
    </w:p>
    <w:p w14:paraId="750A50EB" w14:textId="77777777" w:rsidR="0027777C" w:rsidRDefault="00000000">
      <w:pPr>
        <w:spacing w:after="120" w:line="276" w:lineRule="auto"/>
      </w:pPr>
      <w:r>
        <w:rPr>
          <w:b/>
          <w:bCs/>
          <w:color w:val="085041"/>
        </w:rPr>
        <w:t xml:space="preserve">Objectif. </w:t>
      </w:r>
      <w:r>
        <w:t>Comprendre l’entité, cartographier les risques et bâtir la stratégie d’audit avant tout contrôle de comptes. C’est la phase intellectuelle la plus déterminante.</w:t>
      </w:r>
    </w:p>
    <w:p w14:paraId="27CF4507" w14:textId="77777777" w:rsidR="0027777C" w:rsidRDefault="00000000">
      <w:pPr>
        <w:pStyle w:val="Titre2"/>
      </w:pPr>
      <w:bookmarkStart w:id="8" w:name="_Toc232936359"/>
      <w:r>
        <w:t>3.1 Prise de connaissance de l’entité et de son environnement</w:t>
      </w:r>
      <w:bookmarkEnd w:id="8"/>
    </w:p>
    <w:p w14:paraId="5597E88C" w14:textId="77777777" w:rsidR="0027777C" w:rsidRDefault="00000000">
      <w:pPr>
        <w:spacing w:after="120" w:line="276" w:lineRule="auto"/>
      </w:pPr>
      <w:r>
        <w:t>Secteur d’activité et réglementation, modèle économique, méthodes comptables retenues, systèmes d’information, organisation et gouvernance. En mission récurrente, il s’agit d’une mise à jour ; en première année, d’un travail de fond.</w:t>
      </w:r>
    </w:p>
    <w:p w14:paraId="3FC115E1" w14:textId="77777777" w:rsidR="0027777C" w:rsidRDefault="00000000">
      <w:pPr>
        <w:pStyle w:val="Titre2"/>
      </w:pPr>
      <w:bookmarkStart w:id="9" w:name="_Toc232936360"/>
      <w:r>
        <w:t>3.2 Évaluation du risque d’anomalies significatives</w:t>
      </w:r>
      <w:bookmarkEnd w:id="9"/>
    </w:p>
    <w:p w14:paraId="6D713C77" w14:textId="77777777" w:rsidR="0027777C" w:rsidRDefault="00000000">
      <w:pPr>
        <w:spacing w:after="120" w:line="276" w:lineRule="auto"/>
      </w:pPr>
      <w:r>
        <w:t>L’auditeur identifie où les comptes pourraient être matériellement faux, à deux niveaux : au niveau des états financiers (risque de fraude du dirigeant, doute sur la continuité, environnement de contrôle faible) et au niveau des assertions, compte par compte et cycle par cycle. La prise en compte du risque de fraude est obligatoire.</w:t>
      </w:r>
    </w:p>
    <w:p w14:paraId="2C29985E" w14:textId="77777777" w:rsidR="0027777C" w:rsidRDefault="00000000">
      <w:pPr>
        <w:pStyle w:val="Titre2"/>
      </w:pPr>
      <w:bookmarkStart w:id="10" w:name="_Toc232936361"/>
      <w:r>
        <w:t>3.3 Détermination du seuil de signification (matérialité)</w:t>
      </w:r>
      <w:bookmarkEnd w:id="10"/>
    </w:p>
    <w:p w14:paraId="52C720CB" w14:textId="77777777" w:rsidR="0027777C" w:rsidRDefault="00000000">
      <w:pPr>
        <w:spacing w:after="120" w:line="276" w:lineRule="auto"/>
      </w:pPr>
      <w:r>
        <w:t>C’est le montant au-delà duquel une anomalie est jugée significative — souvent un pourcentage d’un agrégat de référence (résultat, chiffre d’affaires, capitaux propres, total de bilan). On définit en pratique trois niveaux : le seuil de signification global, un seuil de travail plus bas (pour calibrer l’étendue des contrôles) et un seuil de remontée des anomalies non corrigées.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60"/>
        <w:gridCol w:w="4400"/>
      </w:tblGrid>
      <w:tr w:rsidR="0027777C" w14:paraId="0FD1FBD4"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vAlign w:val="center"/>
          </w:tcPr>
          <w:p w14:paraId="3C41F2FF" w14:textId="77777777" w:rsidR="0027777C" w:rsidRDefault="00000000">
            <w:r>
              <w:rPr>
                <w:b/>
                <w:bCs/>
                <w:color w:val="FFFFFF"/>
              </w:rPr>
              <w:t>Niveau</w:t>
            </w:r>
          </w:p>
        </w:tc>
        <w:tc>
          <w:tcPr>
            <w:tcW w:w="306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vAlign w:val="center"/>
          </w:tcPr>
          <w:p w14:paraId="49140604" w14:textId="77777777" w:rsidR="0027777C" w:rsidRDefault="00000000">
            <w:r>
              <w:rPr>
                <w:b/>
                <w:bCs/>
                <w:color w:val="FFFFFF"/>
              </w:rPr>
              <w:t>Rôle</w:t>
            </w:r>
          </w:p>
        </w:tc>
        <w:tc>
          <w:tcPr>
            <w:tcW w:w="44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vAlign w:val="center"/>
          </w:tcPr>
          <w:p w14:paraId="20379814" w14:textId="77777777" w:rsidR="0027777C" w:rsidRDefault="00000000">
            <w:r>
              <w:rPr>
                <w:b/>
                <w:bCs/>
                <w:color w:val="FFFFFF"/>
              </w:rPr>
              <w:t>Usage dans la mission</w:t>
            </w:r>
          </w:p>
        </w:tc>
      </w:tr>
      <w:tr w:rsidR="0027777C" w14:paraId="6E2735F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05B6AF36" w14:textId="77777777" w:rsidR="0027777C" w:rsidRDefault="00000000">
            <w:r>
              <w:t>Seuil global</w:t>
            </w:r>
          </w:p>
        </w:tc>
        <w:tc>
          <w:tcPr>
            <w:tcW w:w="306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4C6C7120" w14:textId="77777777" w:rsidR="0027777C" w:rsidRDefault="00000000">
            <w:r>
              <w:t>Définit la matérialité d’ensemble</w:t>
            </w:r>
          </w:p>
        </w:tc>
        <w:tc>
          <w:tcPr>
            <w:tcW w:w="440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773CAF8A" w14:textId="77777777" w:rsidR="0027777C" w:rsidRDefault="00000000">
            <w:r>
              <w:t>Comparé au cumul final des anomalies pour décider de l’opinion</w:t>
            </w:r>
          </w:p>
        </w:tc>
      </w:tr>
      <w:tr w:rsidR="0027777C" w14:paraId="417FF9C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4D65A5" w14:textId="77777777" w:rsidR="0027777C" w:rsidRDefault="00000000">
            <w:r>
              <w:t>Seuil de travail</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4157F6" w14:textId="77777777" w:rsidR="0027777C" w:rsidRDefault="00000000">
            <w:r>
              <w:t>Marge de sécurité sous le global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D85D4D" w14:textId="77777777" w:rsidR="0027777C" w:rsidRDefault="00000000">
            <w:r>
              <w:t>Calibre la profondeur et la taille des sondages</w:t>
            </w:r>
          </w:p>
        </w:tc>
      </w:tr>
      <w:tr w:rsidR="0027777C" w14:paraId="4A94A6A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659E714E" w14:textId="77777777" w:rsidR="0027777C" w:rsidRDefault="00000000">
            <w:r>
              <w:t>Seuil de remontée</w:t>
            </w:r>
          </w:p>
        </w:tc>
        <w:tc>
          <w:tcPr>
            <w:tcW w:w="306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0A6DB3A7" w14:textId="77777777" w:rsidR="0027777C" w:rsidRDefault="00000000">
            <w:r>
              <w:t>Plancher de signalement</w:t>
            </w:r>
          </w:p>
        </w:tc>
        <w:tc>
          <w:tcPr>
            <w:tcW w:w="440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2D91B9E1" w14:textId="77777777" w:rsidR="0027777C" w:rsidRDefault="00000000">
            <w:r>
              <w:t>En deçà, les anomalies ne sont pas remontées</w:t>
            </w:r>
          </w:p>
        </w:tc>
      </w:tr>
    </w:tbl>
    <w:p w14:paraId="43CA6488" w14:textId="77777777" w:rsidR="0027777C" w:rsidRDefault="00000000">
      <w:pPr>
        <w:pStyle w:val="Titre2"/>
      </w:pPr>
      <w:bookmarkStart w:id="11" w:name="_Toc232936362"/>
      <w:r>
        <w:t>3.4 Procédures analytiques préliminaires</w:t>
      </w:r>
      <w:bookmarkEnd w:id="11"/>
    </w:p>
    <w:p w14:paraId="467F85A8" w14:textId="77777777" w:rsidR="0027777C" w:rsidRDefault="00000000">
      <w:pPr>
        <w:spacing w:after="120" w:line="276" w:lineRule="auto"/>
      </w:pPr>
      <w:r>
        <w:t>Analyse des variations, ratios et tendances sur les comptes pour repérer les zones anormales qui orienteront l’effort d’audit.</w:t>
      </w:r>
    </w:p>
    <w:p w14:paraId="2537461D" w14:textId="77777777" w:rsidR="0027777C" w:rsidRDefault="00000000">
      <w:pPr>
        <w:pStyle w:val="Titre2"/>
      </w:pPr>
      <w:bookmarkStart w:id="12" w:name="_Toc232936363"/>
      <w:r>
        <w:t>3.5 Stratégie et plan de mission</w:t>
      </w:r>
      <w:bookmarkEnd w:id="12"/>
    </w:p>
    <w:p w14:paraId="54899655" w14:textId="77777777" w:rsidR="0027777C" w:rsidRDefault="00000000">
      <w:pPr>
        <w:spacing w:after="120" w:line="276" w:lineRule="auto"/>
      </w:pPr>
      <w:r>
        <w:lastRenderedPageBreak/>
        <w:t>La synthèse de ce qui précède donne la stratégie d’audit (vision d’ensemble : nature, calendrier, étendue) et le programme de travail (liste détaillée des contrôles par cycle).</w:t>
      </w:r>
    </w:p>
    <w:p w14:paraId="3D5925E1" w14:textId="77777777" w:rsidR="0027777C" w:rsidRDefault="00000000">
      <w:pPr>
        <w:pBdr>
          <w:left w:val="single" w:sz="18" w:space="12" w:color="E8A020"/>
        </w:pBdr>
        <w:spacing w:before="40" w:after="80" w:line="272" w:lineRule="auto"/>
        <w:ind w:left="240"/>
      </w:pPr>
      <w:r>
        <w:rPr>
          <w:b/>
          <w:bCs/>
          <w:color w:val="9A6A10"/>
        </w:rPr>
        <w:t xml:space="preserve">Embranchement — </w:t>
      </w:r>
      <w:r>
        <w:t>Le niveau de risque évalué oriente directement l’étendue des travaux : un cycle à risque élevé appellera plus de contrôles qu’un cycle à risque faible.</w:t>
      </w:r>
    </w:p>
    <w:p w14:paraId="200EEAE7" w14:textId="77777777" w:rsidR="0027777C" w:rsidRDefault="00000000">
      <w:pPr>
        <w:spacing w:before="40" w:after="120" w:line="272" w:lineRule="auto"/>
      </w:pPr>
      <w:r>
        <w:rPr>
          <w:b/>
          <w:bCs/>
          <w:color w:val="1D9E75"/>
        </w:rPr>
        <w:t xml:space="preserve">Livrable(s) : </w:t>
      </w:r>
      <w:r>
        <w:rPr>
          <w:i/>
          <w:iCs/>
        </w:rPr>
        <w:t>Plan de mission ; programme de travail ; note de seuil de signification ; cartographie des risques.</w:t>
      </w:r>
    </w:p>
    <w:p w14:paraId="7756624D" w14:textId="77777777" w:rsidR="0027777C" w:rsidRDefault="00000000">
      <w:pPr>
        <w:pBdr>
          <w:left w:val="single" w:sz="18" w:space="12" w:color="1D9E75"/>
        </w:pBdr>
        <w:shd w:val="clear" w:color="auto" w:fill="F2F6F4"/>
        <w:spacing w:before="80" w:after="160" w:line="272" w:lineRule="auto"/>
        <w:ind w:left="240"/>
      </w:pPr>
      <w:r>
        <w:rPr>
          <w:b/>
          <w:bCs/>
          <w:color w:val="085041"/>
        </w:rPr>
        <w:t xml:space="preserve">Pour le logiciel — </w:t>
      </w:r>
      <w:r>
        <w:t>C’est ici que l’assistance apporte le plus de valeur. L’outil peut : calculer des propositions de seuil à partir des agrégats, automatiser la revue analytique (variations, ratios) et signaler les écarts, proposer une cartographie des risques par cycle/assertion à valider par l’auditeur. Toute proposition issue d’un raisonnement doit rester modifiable et justifiée — l’auditeur décide, l’outil suggère.</w:t>
      </w:r>
    </w:p>
    <w:p w14:paraId="480621A1" w14:textId="77777777" w:rsidR="0027777C" w:rsidRDefault="0027777C">
      <w:pPr>
        <w:spacing w:after="120"/>
      </w:pPr>
    </w:p>
    <w:p w14:paraId="2E44E87E" w14:textId="77777777" w:rsidR="0027777C" w:rsidRDefault="00000000">
      <w:pPr>
        <w:pStyle w:val="Titre1"/>
      </w:pPr>
      <w:bookmarkStart w:id="13" w:name="_Toc232936364"/>
      <w:r>
        <w:t>4. Phase 2 — Appréciation du contrôle interne</w:t>
      </w:r>
      <w:bookmarkEnd w:id="13"/>
    </w:p>
    <w:p w14:paraId="2497FCCC" w14:textId="77777777" w:rsidR="0027777C" w:rsidRDefault="00000000">
      <w:pPr>
        <w:spacing w:after="120" w:line="276" w:lineRule="auto"/>
      </w:pPr>
      <w:r>
        <w:rPr>
          <w:b/>
          <w:bCs/>
          <w:color w:val="085041"/>
        </w:rPr>
        <w:t xml:space="preserve">Objectif. </w:t>
      </w:r>
      <w:r>
        <w:t>Comprendre et tester les procédures internes de l’entreprise, pour décider du degré de confiance qu’on peut leur accorder.</w:t>
      </w:r>
    </w:p>
    <w:p w14:paraId="75C9DB79" w14:textId="77777777" w:rsidR="0027777C" w:rsidRDefault="00000000">
      <w:pPr>
        <w:pStyle w:val="Titre2"/>
      </w:pPr>
      <w:bookmarkStart w:id="14" w:name="_Toc232936365"/>
      <w:r>
        <w:t>4.1 Démarche par cycle</w:t>
      </w:r>
      <w:bookmarkEnd w:id="14"/>
    </w:p>
    <w:p w14:paraId="5BF5A817" w14:textId="77777777" w:rsidR="0027777C" w:rsidRDefault="00000000">
      <w:pPr>
        <w:spacing w:after="120" w:line="276" w:lineRule="auto"/>
      </w:pPr>
      <w:r>
        <w:t>Le contrôle interne s’examine cycle par cycle. Les cycles usuels sont :</w:t>
      </w:r>
    </w:p>
    <w:p w14:paraId="7A3E735D" w14:textId="77777777" w:rsidR="0027777C" w:rsidRDefault="00000000">
      <w:pPr>
        <w:pStyle w:val="Paragraphedeliste"/>
        <w:numPr>
          <w:ilvl w:val="0"/>
          <w:numId w:val="2"/>
        </w:numPr>
        <w:spacing w:after="60" w:line="270" w:lineRule="auto"/>
      </w:pPr>
      <w:r>
        <w:t>Ventes – clients (facturation, encaissements, créances)</w:t>
      </w:r>
    </w:p>
    <w:p w14:paraId="48DC9E09" w14:textId="77777777" w:rsidR="0027777C" w:rsidRDefault="00000000">
      <w:pPr>
        <w:pStyle w:val="Paragraphedeliste"/>
        <w:numPr>
          <w:ilvl w:val="0"/>
          <w:numId w:val="2"/>
        </w:numPr>
        <w:spacing w:after="60" w:line="270" w:lineRule="auto"/>
      </w:pPr>
      <w:r>
        <w:t>Achats – fournisseurs (commandes, réception, dettes, décaissements)</w:t>
      </w:r>
    </w:p>
    <w:p w14:paraId="52A7A4CC" w14:textId="77777777" w:rsidR="0027777C" w:rsidRDefault="00000000">
      <w:pPr>
        <w:pStyle w:val="Paragraphedeliste"/>
        <w:numPr>
          <w:ilvl w:val="0"/>
          <w:numId w:val="2"/>
        </w:numPr>
        <w:spacing w:after="60" w:line="270" w:lineRule="auto"/>
      </w:pPr>
      <w:r>
        <w:t>Paie – personnel</w:t>
      </w:r>
    </w:p>
    <w:p w14:paraId="046A04AC" w14:textId="77777777" w:rsidR="0027777C" w:rsidRDefault="00000000">
      <w:pPr>
        <w:pStyle w:val="Paragraphedeliste"/>
        <w:numPr>
          <w:ilvl w:val="0"/>
          <w:numId w:val="2"/>
        </w:numPr>
        <w:spacing w:after="60" w:line="270" w:lineRule="auto"/>
      </w:pPr>
      <w:r>
        <w:t>Stocks et en-cours</w:t>
      </w:r>
    </w:p>
    <w:p w14:paraId="7241F6CD" w14:textId="77777777" w:rsidR="0027777C" w:rsidRDefault="00000000">
      <w:pPr>
        <w:pStyle w:val="Paragraphedeliste"/>
        <w:numPr>
          <w:ilvl w:val="0"/>
          <w:numId w:val="2"/>
        </w:numPr>
        <w:spacing w:after="60" w:line="270" w:lineRule="auto"/>
      </w:pPr>
      <w:r>
        <w:t>Immobilisations</w:t>
      </w:r>
    </w:p>
    <w:p w14:paraId="67A5F8C7" w14:textId="77777777" w:rsidR="0027777C" w:rsidRDefault="00000000">
      <w:pPr>
        <w:pStyle w:val="Paragraphedeliste"/>
        <w:numPr>
          <w:ilvl w:val="0"/>
          <w:numId w:val="2"/>
        </w:numPr>
        <w:spacing w:after="60" w:line="270" w:lineRule="auto"/>
      </w:pPr>
      <w:r>
        <w:t>Trésorerie et financement</w:t>
      </w:r>
    </w:p>
    <w:p w14:paraId="6545D01E" w14:textId="77777777" w:rsidR="0027777C" w:rsidRDefault="00000000">
      <w:pPr>
        <w:pStyle w:val="Paragraphedeliste"/>
        <w:numPr>
          <w:ilvl w:val="0"/>
          <w:numId w:val="2"/>
        </w:numPr>
        <w:spacing w:after="60" w:line="270" w:lineRule="auto"/>
      </w:pPr>
      <w:r>
        <w:t>Capitaux propres et provisions</w:t>
      </w:r>
    </w:p>
    <w:p w14:paraId="424E0955" w14:textId="77777777" w:rsidR="0027777C" w:rsidRDefault="00000000">
      <w:pPr>
        <w:pStyle w:val="Paragraphedeliste"/>
        <w:numPr>
          <w:ilvl w:val="0"/>
          <w:numId w:val="2"/>
        </w:numPr>
        <w:spacing w:after="60" w:line="270" w:lineRule="auto"/>
      </w:pPr>
      <w:r>
        <w:t>Impôts et taxes</w:t>
      </w:r>
    </w:p>
    <w:p w14:paraId="46C8D413" w14:textId="77777777" w:rsidR="0027777C" w:rsidRDefault="00000000">
      <w:pPr>
        <w:spacing w:after="120" w:line="276" w:lineRule="auto"/>
      </w:pPr>
      <w:r>
        <w:t>Pour chaque cycle, l’auditeur décrit le système (qui fait quoi, quels contrôles existent, séparation des tâches), puis réalise des tests de procédures pour vérifier que ces contrôles fonctionnent réellement dans le temps.</w:t>
      </w:r>
    </w:p>
    <w:p w14:paraId="217CC0B6" w14:textId="77777777" w:rsidR="0027777C" w:rsidRDefault="00000000">
      <w:pPr>
        <w:pStyle w:val="Titre2"/>
      </w:pPr>
      <w:bookmarkStart w:id="15" w:name="_Toc232936366"/>
      <w:r>
        <w:t>4.2 L’embranchement central de la mission</w:t>
      </w:r>
      <w:bookmarkEnd w:id="15"/>
    </w:p>
    <w:p w14:paraId="49F9B77F" w14:textId="77777777" w:rsidR="0027777C" w:rsidRDefault="00000000">
      <w:pPr>
        <w:pBdr>
          <w:left w:val="single" w:sz="18" w:space="12" w:color="E8A020"/>
        </w:pBdr>
        <w:spacing w:before="40" w:after="80" w:line="272" w:lineRule="auto"/>
        <w:ind w:left="240"/>
      </w:pPr>
      <w:r>
        <w:rPr>
          <w:b/>
          <w:bCs/>
          <w:color w:val="9A6A10"/>
        </w:rPr>
        <w:t xml:space="preserve">Embranchement — </w:t>
      </w:r>
      <w:r>
        <w:t>Si le contrôle interne est jugé fiable, l’auditeur peut s’appuyer dessus et réduire les contrôles directs sur les comptes : c’est l’« approche par les contrôles ». S’il est défaillant, l’auditeur ne peut s’y fier et doit renforcer les contrôles substantifs sur les chiffres : c’est l’« approche substantive » étendue. Ce choix conditionne toute la phase 3.</w:t>
      </w:r>
    </w:p>
    <w:p w14:paraId="0C015184" w14:textId="77777777" w:rsidR="0027777C" w:rsidRDefault="00000000">
      <w:pPr>
        <w:spacing w:before="40" w:after="120" w:line="272" w:lineRule="auto"/>
      </w:pPr>
      <w:r>
        <w:rPr>
          <w:b/>
          <w:bCs/>
          <w:color w:val="1D9E75"/>
        </w:rPr>
        <w:t xml:space="preserve">Livrable(s) : </w:t>
      </w:r>
      <w:r>
        <w:rPr>
          <w:i/>
          <w:iCs/>
        </w:rPr>
        <w:t>Descriptifs de cycles ; feuilles de tests de procédures ; conclusion sur la fiabilité du contrôle interne ; le cas échéant, lettre de recommandations sur les faiblesses constatées.</w:t>
      </w:r>
    </w:p>
    <w:p w14:paraId="29A0E848" w14:textId="77777777" w:rsidR="0027777C" w:rsidRDefault="00000000">
      <w:pPr>
        <w:pBdr>
          <w:left w:val="single" w:sz="18" w:space="12" w:color="1D9E75"/>
        </w:pBdr>
        <w:shd w:val="clear" w:color="auto" w:fill="F2F6F4"/>
        <w:spacing w:before="80" w:after="160" w:line="272" w:lineRule="auto"/>
        <w:ind w:left="240"/>
      </w:pPr>
      <w:r>
        <w:rPr>
          <w:b/>
          <w:bCs/>
          <w:color w:val="085041"/>
        </w:rPr>
        <w:lastRenderedPageBreak/>
        <w:t xml:space="preserve">Pour le logiciel — </w:t>
      </w:r>
      <w:r>
        <w:t>Modéliser les cycles comme objets de premier plan, chacun rattachant ses contrôles, ses tests et sa conclusion. Le résultat de l’évaluation (fiable / non fiable) doit piloter dynamiquement l’étendue suggérée des travaux substantifs du cycle correspondant. Prévoir un module de recommandations généré à partir des faiblesses relevées.</w:t>
      </w:r>
    </w:p>
    <w:p w14:paraId="1CFBD5E5" w14:textId="77777777" w:rsidR="0027777C" w:rsidRDefault="0027777C">
      <w:pPr>
        <w:spacing w:after="120"/>
      </w:pPr>
    </w:p>
    <w:p w14:paraId="04496D77" w14:textId="77777777" w:rsidR="0027777C" w:rsidRDefault="00000000">
      <w:pPr>
        <w:pStyle w:val="Titre1"/>
      </w:pPr>
      <w:bookmarkStart w:id="16" w:name="_Toc232936367"/>
      <w:r>
        <w:t>5. Phase 3 — Contrôle des comptes (travaux substantifs)</w:t>
      </w:r>
      <w:bookmarkEnd w:id="16"/>
    </w:p>
    <w:p w14:paraId="0FF91559" w14:textId="77777777" w:rsidR="0027777C" w:rsidRDefault="00000000">
      <w:pPr>
        <w:spacing w:after="120" w:line="276" w:lineRule="auto"/>
      </w:pPr>
      <w:r>
        <w:rPr>
          <w:b/>
          <w:bCs/>
          <w:color w:val="085041"/>
        </w:rPr>
        <w:t xml:space="preserve">Objectif. </w:t>
      </w:r>
      <w:r>
        <w:t>Vérifier directement que les soldes et opérations des comptes sont corrects, au regard des assertions d’audit.</w:t>
      </w:r>
    </w:p>
    <w:p w14:paraId="61B4A3C3" w14:textId="77777777" w:rsidR="0027777C" w:rsidRDefault="00000000">
      <w:pPr>
        <w:pStyle w:val="Titre2"/>
      </w:pPr>
      <w:bookmarkStart w:id="17" w:name="_Toc232936368"/>
      <w:r>
        <w:t>5.1 Les assertions d’audit</w:t>
      </w:r>
      <w:bookmarkEnd w:id="17"/>
    </w:p>
    <w:p w14:paraId="69FB6507" w14:textId="77777777" w:rsidR="0027777C" w:rsidRDefault="00000000">
      <w:pPr>
        <w:spacing w:after="120" w:line="276" w:lineRule="auto"/>
      </w:pPr>
      <w:r>
        <w:t>Chaque contrôle vise à valider une ou plusieurs assertions. Elles constituent l’ossature mentale de tout auditeur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7777C" w14:paraId="4FDDF628"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vAlign w:val="center"/>
          </w:tcPr>
          <w:p w14:paraId="6C5F9AAD" w14:textId="77777777" w:rsidR="0027777C" w:rsidRDefault="00000000">
            <w:r>
              <w:rPr>
                <w:b/>
                <w:bCs/>
                <w:color w:val="FFFFFF"/>
              </w:rPr>
              <w:t>Assertion</w:t>
            </w:r>
          </w:p>
        </w:tc>
        <w:tc>
          <w:tcPr>
            <w:tcW w:w="616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vAlign w:val="center"/>
          </w:tcPr>
          <w:p w14:paraId="2ABDD696" w14:textId="77777777" w:rsidR="0027777C" w:rsidRDefault="00000000">
            <w:r>
              <w:rPr>
                <w:b/>
                <w:bCs/>
                <w:color w:val="FFFFFF"/>
              </w:rPr>
              <w:t>Question posée</w:t>
            </w:r>
          </w:p>
        </w:tc>
      </w:tr>
      <w:tr w:rsidR="0027777C" w14:paraId="23CF33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1139492E" w14:textId="77777777" w:rsidR="0027777C" w:rsidRDefault="00000000">
            <w:r>
              <w:t>Existence / réalité</w:t>
            </w:r>
          </w:p>
        </w:tc>
        <w:tc>
          <w:tcPr>
            <w:tcW w:w="616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5DB92BB9" w14:textId="77777777" w:rsidR="0027777C" w:rsidRDefault="00000000">
            <w:r>
              <w:t>L’élément enregistré existe-t-il réellement ?</w:t>
            </w:r>
          </w:p>
        </w:tc>
      </w:tr>
      <w:tr w:rsidR="0027777C" w14:paraId="6316A8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E52659" w14:textId="77777777" w:rsidR="0027777C" w:rsidRDefault="00000000">
            <w:r>
              <w:t>Exhaustivité</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FD14E1" w14:textId="77777777" w:rsidR="0027777C" w:rsidRDefault="00000000">
            <w:r>
              <w:t>Tout ce qui devait être enregistré l’a-t-il été ?</w:t>
            </w:r>
          </w:p>
        </w:tc>
      </w:tr>
      <w:tr w:rsidR="0027777C" w14:paraId="54026D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7749EE4A" w14:textId="77777777" w:rsidR="0027777C" w:rsidRDefault="00000000">
            <w:r>
              <w:t>Droits et obligations</w:t>
            </w:r>
          </w:p>
        </w:tc>
        <w:tc>
          <w:tcPr>
            <w:tcW w:w="616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6A477FE5" w14:textId="77777777" w:rsidR="0027777C" w:rsidRDefault="00000000">
            <w:r>
              <w:t>L’entité possède-t-elle bien l’actif / doit-elle bien la dette ?</w:t>
            </w:r>
          </w:p>
        </w:tc>
      </w:tr>
      <w:tr w:rsidR="0027777C" w14:paraId="60FA96F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2FA442" w14:textId="77777777" w:rsidR="0027777C" w:rsidRDefault="00000000">
            <w:r>
              <w:t>Évaluation et exactitude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BD733C" w14:textId="77777777" w:rsidR="0027777C" w:rsidRDefault="00000000">
            <w:r>
              <w:t>Le montant est-il correctement évalué et calculé ?</w:t>
            </w:r>
          </w:p>
        </w:tc>
      </w:tr>
      <w:tr w:rsidR="0027777C" w14:paraId="1AF2B8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087F7215" w14:textId="77777777" w:rsidR="0027777C" w:rsidRDefault="00000000">
            <w:r>
              <w:t>Séparation des exercices (cut-off)</w:t>
            </w:r>
          </w:p>
        </w:tc>
        <w:tc>
          <w:tcPr>
            <w:tcW w:w="616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1C484102" w14:textId="77777777" w:rsidR="0027777C" w:rsidRDefault="00000000">
            <w:r>
              <w:t>L’opération est-elle rattachée au bon exercice ?</w:t>
            </w:r>
          </w:p>
        </w:tc>
      </w:tr>
      <w:tr w:rsidR="0027777C" w14:paraId="099B66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C8D9722" w14:textId="77777777" w:rsidR="0027777C" w:rsidRDefault="00000000">
            <w:r>
              <w:t>Présentation et informations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EEBDD74" w14:textId="77777777" w:rsidR="0027777C" w:rsidRDefault="00000000">
            <w:r>
              <w:t>Est-ce correctement classé et mentionné en annexe ?</w:t>
            </w:r>
          </w:p>
        </w:tc>
      </w:tr>
    </w:tbl>
    <w:p w14:paraId="29B4979F" w14:textId="77777777" w:rsidR="0027777C" w:rsidRDefault="00000000">
      <w:pPr>
        <w:pStyle w:val="Titre2"/>
      </w:pPr>
      <w:bookmarkStart w:id="18" w:name="_Toc232936369"/>
      <w:r>
        <w:t>5.2 Les techniques de contrôle</w:t>
      </w:r>
      <w:bookmarkEnd w:id="18"/>
    </w:p>
    <w:p w14:paraId="10298190" w14:textId="77777777" w:rsidR="0027777C" w:rsidRDefault="00000000">
      <w:pPr>
        <w:pStyle w:val="Paragraphedeliste"/>
        <w:numPr>
          <w:ilvl w:val="0"/>
          <w:numId w:val="2"/>
        </w:numPr>
        <w:spacing w:after="60" w:line="270" w:lineRule="auto"/>
      </w:pPr>
      <w:r>
        <w:rPr>
          <w:b/>
          <w:bCs/>
        </w:rPr>
        <w:t xml:space="preserve">Confirmations externes (circularisation). </w:t>
      </w:r>
      <w:r>
        <w:t>On écrit directement aux tiers — banques, clients, fournisseurs, avocats — pour faire confirmer les soldes et engagements.</w:t>
      </w:r>
    </w:p>
    <w:p w14:paraId="235C19C7" w14:textId="77777777" w:rsidR="0027777C" w:rsidRDefault="00000000">
      <w:pPr>
        <w:pStyle w:val="Paragraphedeliste"/>
        <w:numPr>
          <w:ilvl w:val="0"/>
          <w:numId w:val="2"/>
        </w:numPr>
        <w:spacing w:after="60" w:line="270" w:lineRule="auto"/>
      </w:pPr>
      <w:r>
        <w:rPr>
          <w:b/>
          <w:bCs/>
        </w:rPr>
        <w:t xml:space="preserve">Observation physique. </w:t>
      </w:r>
      <w:r>
        <w:t>Assistance à l’inventaire des stocks, vérification de l’existence des immobilisations.</w:t>
      </w:r>
    </w:p>
    <w:p w14:paraId="1F559E11" w14:textId="77777777" w:rsidR="0027777C" w:rsidRDefault="00000000">
      <w:pPr>
        <w:pStyle w:val="Paragraphedeliste"/>
        <w:numPr>
          <w:ilvl w:val="0"/>
          <w:numId w:val="2"/>
        </w:numPr>
        <w:spacing w:after="60" w:line="270" w:lineRule="auto"/>
      </w:pPr>
      <w:r>
        <w:rPr>
          <w:b/>
          <w:bCs/>
        </w:rPr>
        <w:t xml:space="preserve">Inspection de pièces. </w:t>
      </w:r>
      <w:r>
        <w:t>Examen des factures, contrats, relevés, pièces justificatives.</w:t>
      </w:r>
    </w:p>
    <w:p w14:paraId="329DC38D" w14:textId="77777777" w:rsidR="0027777C" w:rsidRDefault="00000000">
      <w:pPr>
        <w:pStyle w:val="Paragraphedeliste"/>
        <w:numPr>
          <w:ilvl w:val="0"/>
          <w:numId w:val="2"/>
        </w:numPr>
        <w:spacing w:after="60" w:line="270" w:lineRule="auto"/>
      </w:pPr>
      <w:r>
        <w:rPr>
          <w:b/>
          <w:bCs/>
        </w:rPr>
        <w:t xml:space="preserve">Recalcul et ré-exécution. </w:t>
      </w:r>
      <w:r>
        <w:t>Refaire un calcul (amortissements, provisions) ou rejouer un contrôle.</w:t>
      </w:r>
    </w:p>
    <w:p w14:paraId="6963B5BD" w14:textId="77777777" w:rsidR="0027777C" w:rsidRDefault="00000000">
      <w:pPr>
        <w:pStyle w:val="Paragraphedeliste"/>
        <w:numPr>
          <w:ilvl w:val="0"/>
          <w:numId w:val="2"/>
        </w:numPr>
        <w:spacing w:after="60" w:line="270" w:lineRule="auto"/>
      </w:pPr>
      <w:r>
        <w:rPr>
          <w:b/>
          <w:bCs/>
        </w:rPr>
        <w:t xml:space="preserve">Procédures analytiques de substance. </w:t>
      </w:r>
      <w:r>
        <w:t>Expliquer des soldes par des relations attendues entre données.</w:t>
      </w:r>
    </w:p>
    <w:p w14:paraId="313FF25F" w14:textId="77777777" w:rsidR="0027777C" w:rsidRDefault="00000000">
      <w:pPr>
        <w:pStyle w:val="Paragraphedeliste"/>
        <w:numPr>
          <w:ilvl w:val="0"/>
          <w:numId w:val="2"/>
        </w:numPr>
        <w:spacing w:after="60" w:line="270" w:lineRule="auto"/>
      </w:pPr>
      <w:r>
        <w:rPr>
          <w:b/>
          <w:bCs/>
        </w:rPr>
        <w:t xml:space="preserve">Sondages (échantillonnage). </w:t>
      </w:r>
      <w:r>
        <w:t>Quand le volume interdit le contrôle exhaustif, on teste un échantillon — statistique ou par jugement — et on extrapole.</w:t>
      </w:r>
    </w:p>
    <w:p w14:paraId="7D41F0C3" w14:textId="77777777" w:rsidR="0027777C" w:rsidRDefault="00000000">
      <w:pPr>
        <w:pStyle w:val="Titre2"/>
      </w:pPr>
      <w:bookmarkStart w:id="19" w:name="_Toc232936370"/>
      <w:r>
        <w:t>5.3 Organisation des travaux</w:t>
      </w:r>
      <w:bookmarkEnd w:id="19"/>
    </w:p>
    <w:p w14:paraId="65BE6944" w14:textId="77777777" w:rsidR="0027777C" w:rsidRDefault="00000000">
      <w:pPr>
        <w:spacing w:after="120" w:line="276" w:lineRule="auto"/>
      </w:pPr>
      <w:r>
        <w:t>Les travaux se déroulent cycle par cycle. Chaque contrôle produit une feuille de travail documentée : objectif, étendue, éléments examinés, anomalies relevées, conclusion.</w:t>
      </w:r>
    </w:p>
    <w:p w14:paraId="54D93C6E" w14:textId="77777777" w:rsidR="0027777C" w:rsidRDefault="00000000">
      <w:pPr>
        <w:pBdr>
          <w:left w:val="single" w:sz="18" w:space="12" w:color="E8A020"/>
        </w:pBdr>
        <w:spacing w:before="40" w:after="80" w:line="272" w:lineRule="auto"/>
        <w:ind w:left="240"/>
      </w:pPr>
      <w:r>
        <w:rPr>
          <w:b/>
          <w:bCs/>
          <w:color w:val="9A6A10"/>
        </w:rPr>
        <w:lastRenderedPageBreak/>
        <w:t xml:space="preserve">Embranchement — </w:t>
      </w:r>
      <w:r>
        <w:t>L’étendue des sondages et la nature des tests dépendent de l’évaluation du contrôle interne (phase 2) et du risque (phase 1). Un même cycle peut être traité légèrement ou en profondeur selon ces deux variables.</w:t>
      </w:r>
    </w:p>
    <w:p w14:paraId="2CF022ED" w14:textId="77777777" w:rsidR="0027777C" w:rsidRDefault="00000000">
      <w:pPr>
        <w:spacing w:before="40" w:after="120" w:line="272" w:lineRule="auto"/>
      </w:pPr>
      <w:r>
        <w:rPr>
          <w:b/>
          <w:bCs/>
          <w:color w:val="1D9E75"/>
        </w:rPr>
        <w:t xml:space="preserve">Livrable(s) : </w:t>
      </w:r>
      <w:r>
        <w:rPr>
          <w:i/>
          <w:iCs/>
        </w:rPr>
        <w:t>Feuilles de travail par cycle ; demandes et réponses de circularisation ; feuilles d’inventaire ; tableaux de recalcul ; relevé des anomalies détectées.</w:t>
      </w:r>
    </w:p>
    <w:p w14:paraId="1378A535" w14:textId="77777777" w:rsidR="0027777C" w:rsidRDefault="00000000">
      <w:pPr>
        <w:pBdr>
          <w:left w:val="single" w:sz="18" w:space="12" w:color="1D9E75"/>
        </w:pBdr>
        <w:shd w:val="clear" w:color="auto" w:fill="F2F6F4"/>
        <w:spacing w:before="80" w:after="160" w:line="272" w:lineRule="auto"/>
        <w:ind w:left="240"/>
      </w:pPr>
      <w:r>
        <w:rPr>
          <w:b/>
          <w:bCs/>
          <w:color w:val="085041"/>
        </w:rPr>
        <w:t xml:space="preserve">Pour le logiciel — </w:t>
      </w:r>
      <w:r>
        <w:t>Cœur opérationnel de l’outil. À prévoir : génération et suivi des circularisations (envois, relances, rapprochement des réponses), outils d’échantillonnage (sélection déterministe et traçable), recalculs automatiques, et détection assistée d’incohérences. Chaque anomalie détectée alimente un registre central des anomalies, relié à sa pièce d’origine.</w:t>
      </w:r>
    </w:p>
    <w:p w14:paraId="1666A432" w14:textId="77777777" w:rsidR="0027777C" w:rsidRDefault="0027777C">
      <w:pPr>
        <w:spacing w:after="120"/>
      </w:pPr>
    </w:p>
    <w:p w14:paraId="7AB5BFA4" w14:textId="77777777" w:rsidR="0027777C" w:rsidRDefault="00000000">
      <w:pPr>
        <w:pStyle w:val="Titre1"/>
      </w:pPr>
      <w:bookmarkStart w:id="20" w:name="_Toc232936371"/>
      <w:r>
        <w:t>6. Phase 4 — Travaux de fin de mission</w:t>
      </w:r>
      <w:bookmarkEnd w:id="20"/>
    </w:p>
    <w:p w14:paraId="29860099" w14:textId="77777777" w:rsidR="0027777C" w:rsidRDefault="00000000">
      <w:pPr>
        <w:spacing w:after="120" w:line="276" w:lineRule="auto"/>
      </w:pPr>
      <w:r>
        <w:rPr>
          <w:b/>
          <w:bCs/>
          <w:color w:val="085041"/>
        </w:rPr>
        <w:t xml:space="preserve">Objectif. </w:t>
      </w:r>
      <w:r>
        <w:t>Boucler la mission, s’assurer qu’aucun élément tardif ne remet en cause les comptes, et synthétiser les constats.</w:t>
      </w:r>
    </w:p>
    <w:p w14:paraId="14D1B78A" w14:textId="77777777" w:rsidR="0027777C" w:rsidRDefault="00000000">
      <w:pPr>
        <w:pStyle w:val="Paragraphedeliste"/>
        <w:numPr>
          <w:ilvl w:val="0"/>
          <w:numId w:val="5"/>
        </w:numPr>
        <w:spacing w:after="80" w:line="272" w:lineRule="auto"/>
      </w:pPr>
      <w:r>
        <w:rPr>
          <w:b/>
          <w:bCs/>
        </w:rPr>
        <w:t xml:space="preserve">Événements postérieurs à la clôture. </w:t>
      </w:r>
      <w:r>
        <w:t>Un litige, une défaillance client ou un sinistre survenu après la date de clôture mais avant le rapport peut devoir être pris en compte.</w:t>
      </w:r>
    </w:p>
    <w:p w14:paraId="4C7AE753" w14:textId="77777777" w:rsidR="0027777C" w:rsidRDefault="00000000">
      <w:pPr>
        <w:pStyle w:val="Paragraphedeliste"/>
        <w:numPr>
          <w:ilvl w:val="0"/>
          <w:numId w:val="5"/>
        </w:numPr>
        <w:spacing w:after="80" w:line="272" w:lineRule="auto"/>
      </w:pPr>
      <w:r>
        <w:rPr>
          <w:b/>
          <w:bCs/>
        </w:rPr>
        <w:t xml:space="preserve">Continuité d’exploitation. </w:t>
      </w:r>
      <w:r>
        <w:t>L’entreprise peut-elle poursuivre son activité dans un avenir prévisible ? Point critique, avec des obligations renforcées en audit légal.</w:t>
      </w:r>
    </w:p>
    <w:p w14:paraId="22092BDA" w14:textId="77777777" w:rsidR="0027777C" w:rsidRDefault="00000000">
      <w:pPr>
        <w:pStyle w:val="Paragraphedeliste"/>
        <w:numPr>
          <w:ilvl w:val="0"/>
          <w:numId w:val="5"/>
        </w:numPr>
        <w:spacing w:after="80" w:line="272" w:lineRule="auto"/>
      </w:pPr>
      <w:r>
        <w:rPr>
          <w:b/>
          <w:bCs/>
        </w:rPr>
        <w:t xml:space="preserve">Lettre d’affirmation. </w:t>
      </w:r>
      <w:r>
        <w:t>La direction confirme par écrit qu’elle a communiqué l’ensemble des informations.</w:t>
      </w:r>
    </w:p>
    <w:p w14:paraId="54E415B9" w14:textId="77777777" w:rsidR="0027777C" w:rsidRDefault="00000000">
      <w:pPr>
        <w:pStyle w:val="Paragraphedeliste"/>
        <w:numPr>
          <w:ilvl w:val="0"/>
          <w:numId w:val="5"/>
        </w:numPr>
        <w:spacing w:after="80" w:line="272" w:lineRule="auto"/>
      </w:pPr>
      <w:r>
        <w:rPr>
          <w:b/>
          <w:bCs/>
        </w:rPr>
        <w:t xml:space="preserve">Synthèse des anomalies. </w:t>
      </w:r>
      <w:r>
        <w:t>On liste les anomalies corrigées et non corrigées, et on compare leur cumul au seuil de signification. C’est ce cumul qui détermine l’opinion.</w:t>
      </w:r>
    </w:p>
    <w:p w14:paraId="4D2237A4" w14:textId="77777777" w:rsidR="0027777C" w:rsidRDefault="00000000">
      <w:pPr>
        <w:pStyle w:val="Paragraphedeliste"/>
        <w:numPr>
          <w:ilvl w:val="0"/>
          <w:numId w:val="5"/>
        </w:numPr>
        <w:spacing w:after="80" w:line="272" w:lineRule="auto"/>
      </w:pPr>
      <w:r>
        <w:rPr>
          <w:b/>
          <w:bCs/>
        </w:rPr>
        <w:t xml:space="preserve">Revue analytique finale et revue du dossier. </w:t>
      </w:r>
      <w:r>
        <w:t>Cohérence d’ensemble des comptes ; supervision par un associé (revue qualité).</w:t>
      </w:r>
    </w:p>
    <w:p w14:paraId="34BD7BD3" w14:textId="77777777" w:rsidR="0027777C" w:rsidRDefault="00000000">
      <w:pPr>
        <w:pBdr>
          <w:left w:val="single" w:sz="18" w:space="12" w:color="E8A020"/>
        </w:pBdr>
        <w:spacing w:before="40" w:after="80" w:line="272" w:lineRule="auto"/>
        <w:ind w:left="240"/>
      </w:pPr>
      <w:r>
        <w:rPr>
          <w:b/>
          <w:bCs/>
          <w:color w:val="9A6A10"/>
        </w:rPr>
        <w:t xml:space="preserve">Embranchement — </w:t>
      </w:r>
      <w:r>
        <w:t>Le cumul des anomalies non corrigées par rapport au seuil est l’embranchement qui, en pratique, oriente le type d’opinion en phase 5.</w:t>
      </w:r>
    </w:p>
    <w:p w14:paraId="6444210C" w14:textId="77777777" w:rsidR="0027777C" w:rsidRDefault="00000000">
      <w:pPr>
        <w:spacing w:before="40" w:after="120" w:line="272" w:lineRule="auto"/>
      </w:pPr>
      <w:r>
        <w:rPr>
          <w:b/>
          <w:bCs/>
          <w:color w:val="1D9E75"/>
        </w:rPr>
        <w:t xml:space="preserve">Livrable(s) : </w:t>
      </w:r>
      <w:r>
        <w:rPr>
          <w:i/>
          <w:iCs/>
        </w:rPr>
        <w:t>Note d’événements postérieurs ; mémo de continuité d’exploitation ; lettre d’affirmation signée ; synthèse des anomalies (corrigées / non corrigées) ; note de revue.</w:t>
      </w:r>
    </w:p>
    <w:p w14:paraId="24B4A992" w14:textId="77777777" w:rsidR="0027777C" w:rsidRDefault="00000000">
      <w:pPr>
        <w:pBdr>
          <w:left w:val="single" w:sz="18" w:space="12" w:color="1D9E75"/>
        </w:pBdr>
        <w:shd w:val="clear" w:color="auto" w:fill="F2F6F4"/>
        <w:spacing w:before="80" w:after="160" w:line="272" w:lineRule="auto"/>
        <w:ind w:left="240"/>
      </w:pPr>
      <w:r>
        <w:rPr>
          <w:b/>
          <w:bCs/>
          <w:color w:val="085041"/>
        </w:rPr>
        <w:t xml:space="preserve">Pour le logiciel — </w:t>
      </w:r>
      <w:r>
        <w:t>Prévoir un tableau de synthèse des anomalies qui agrège automatiquement le registre des anomalies de la phase 3, calcule le cumul et le confronte au seuil, puis propose le sens de l’opinion. La lettre d’affirmation et les notes de fin de mission peuvent être générées depuis des modèles.</w:t>
      </w:r>
    </w:p>
    <w:p w14:paraId="41DA0235" w14:textId="77777777" w:rsidR="0027777C" w:rsidRDefault="0027777C">
      <w:pPr>
        <w:spacing w:after="120"/>
      </w:pPr>
    </w:p>
    <w:p w14:paraId="63937F9F" w14:textId="77777777" w:rsidR="0027777C" w:rsidRDefault="00000000">
      <w:pPr>
        <w:pStyle w:val="Titre1"/>
      </w:pPr>
      <w:bookmarkStart w:id="21" w:name="_Toc232936372"/>
      <w:r>
        <w:t>7. Phase 5 — Opinion et rapports</w:t>
      </w:r>
      <w:bookmarkEnd w:id="21"/>
    </w:p>
    <w:p w14:paraId="2C93E4D5" w14:textId="77777777" w:rsidR="0027777C" w:rsidRDefault="00000000">
      <w:pPr>
        <w:spacing w:after="120" w:line="276" w:lineRule="auto"/>
      </w:pPr>
      <w:r>
        <w:rPr>
          <w:b/>
          <w:bCs/>
          <w:color w:val="085041"/>
        </w:rPr>
        <w:t xml:space="preserve">Objectif. </w:t>
      </w:r>
      <w:r>
        <w:t>Former l’opinion d’audit et émettre les rapports, livrables finaux de la mission.</w:t>
      </w:r>
    </w:p>
    <w:p w14:paraId="40BE92B3" w14:textId="77777777" w:rsidR="0027777C" w:rsidRDefault="00000000">
      <w:pPr>
        <w:pStyle w:val="Titre2"/>
      </w:pPr>
      <w:bookmarkStart w:id="22" w:name="_Toc232936373"/>
      <w:r>
        <w:lastRenderedPageBreak/>
        <w:t>7.1 Les quatre types d’opinion</w:t>
      </w:r>
      <w:bookmarkEnd w:id="22"/>
    </w:p>
    <w:p w14:paraId="6A0EB644" w14:textId="77777777" w:rsidR="0027777C" w:rsidRDefault="00000000">
      <w:pPr>
        <w:spacing w:after="120" w:line="276" w:lineRule="auto"/>
      </w:pPr>
      <w:r>
        <w:t>La conclusion se range dans l’une de quatre catégories, selon la gravité et l’étendue des constats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60"/>
        <w:gridCol w:w="4000"/>
      </w:tblGrid>
      <w:tr w:rsidR="0027777C" w14:paraId="07A430FE"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vAlign w:val="center"/>
          </w:tcPr>
          <w:p w14:paraId="5173355B" w14:textId="77777777" w:rsidR="0027777C" w:rsidRDefault="00000000">
            <w:r>
              <w:rPr>
                <w:b/>
                <w:bCs/>
                <w:color w:val="FFFFFF"/>
              </w:rPr>
              <w:t>Opinion</w:t>
            </w:r>
          </w:p>
        </w:tc>
        <w:tc>
          <w:tcPr>
            <w:tcW w:w="306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vAlign w:val="center"/>
          </w:tcPr>
          <w:p w14:paraId="4BD2B80E" w14:textId="77777777" w:rsidR="0027777C" w:rsidRDefault="00000000">
            <w:r>
              <w:rPr>
                <w:b/>
                <w:bCs/>
                <w:color w:val="FFFFFF"/>
              </w:rPr>
              <w:t>Situation</w:t>
            </w:r>
          </w:p>
        </w:tc>
        <w:tc>
          <w:tcPr>
            <w:tcW w:w="40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vAlign w:val="center"/>
          </w:tcPr>
          <w:p w14:paraId="6DEBBC50" w14:textId="77777777" w:rsidR="0027777C" w:rsidRDefault="00000000">
            <w:r>
              <w:rPr>
                <w:b/>
                <w:bCs/>
                <w:color w:val="FFFFFF"/>
              </w:rPr>
              <w:t>Déclencheur</w:t>
            </w:r>
          </w:p>
        </w:tc>
      </w:tr>
      <w:tr w:rsidR="0027777C" w14:paraId="412A37D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40F8315A" w14:textId="77777777" w:rsidR="0027777C" w:rsidRDefault="00000000">
            <w:r>
              <w:t>Sans réserve</w:t>
            </w:r>
          </w:p>
        </w:tc>
        <w:tc>
          <w:tcPr>
            <w:tcW w:w="306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0C8A2290" w14:textId="77777777" w:rsidR="0027777C" w:rsidRDefault="00000000">
            <w:r>
              <w:t>Comptes réguliers, sincères, fidèles</w:t>
            </w:r>
          </w:p>
        </w:tc>
        <w:tc>
          <w:tcPr>
            <w:tcW w:w="400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2A5CB220" w14:textId="77777777" w:rsidR="0027777C" w:rsidRDefault="00000000">
            <w:r>
              <w:t>Aucune anomalie significative non corrigée ; pas de limitation</w:t>
            </w:r>
          </w:p>
        </w:tc>
      </w:tr>
      <w:tr w:rsidR="0027777C" w14:paraId="044F0E9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ADE2A5" w14:textId="77777777" w:rsidR="0027777C" w:rsidRDefault="00000000">
            <w:r>
              <w:t>Avec réserve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DC80C0" w14:textId="77777777" w:rsidR="0027777C" w:rsidRDefault="00000000">
            <w:r>
              <w:t>Anomalie ou limitation circonscrite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44110E" w14:textId="77777777" w:rsidR="0027777C" w:rsidRDefault="00000000">
            <w:r>
              <w:t>Désaccord ou limitation significatif mais non généralisé</w:t>
            </w:r>
          </w:p>
        </w:tc>
      </w:tr>
      <w:tr w:rsidR="0027777C" w14:paraId="2BC363F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67F096A4" w14:textId="77777777" w:rsidR="0027777C" w:rsidRDefault="00000000">
            <w:r>
              <w:t>Défavorable / refus</w:t>
            </w:r>
          </w:p>
        </w:tc>
        <w:tc>
          <w:tcPr>
            <w:tcW w:w="306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13D00A37" w14:textId="77777777" w:rsidR="0027777C" w:rsidRDefault="00000000">
            <w:r>
              <w:t>Comptes trompeurs</w:t>
            </w:r>
          </w:p>
        </w:tc>
        <w:tc>
          <w:tcPr>
            <w:tcW w:w="400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2F24A464" w14:textId="77777777" w:rsidR="0027777C" w:rsidRDefault="00000000">
            <w:r>
              <w:t>Anomalies significatives ET généralisées</w:t>
            </w:r>
          </w:p>
        </w:tc>
      </w:tr>
      <w:tr w:rsidR="0027777C" w14:paraId="374F8C2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DE3008" w14:textId="77777777" w:rsidR="0027777C" w:rsidRDefault="00000000">
            <w:r>
              <w:t>Impossibilité de certifier</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E552B6" w14:textId="77777777" w:rsidR="0027777C" w:rsidRDefault="00000000">
            <w:r>
              <w:t>Éléments insuffisants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A2E59D" w14:textId="77777777" w:rsidR="0027777C" w:rsidRDefault="00000000">
            <w:r>
              <w:t>Limitation des travaux significative ET généralisée</w:t>
            </w:r>
          </w:p>
        </w:tc>
      </w:tr>
    </w:tbl>
    <w:p w14:paraId="01C199E1" w14:textId="77777777" w:rsidR="0027777C" w:rsidRDefault="00000000">
      <w:pPr>
        <w:pStyle w:val="Titre2"/>
      </w:pPr>
      <w:bookmarkStart w:id="23" w:name="_Toc232936374"/>
      <w:r>
        <w:t>7.2 Les rapports</w:t>
      </w:r>
      <w:bookmarkEnd w:id="23"/>
    </w:p>
    <w:p w14:paraId="7B39060E" w14:textId="77777777" w:rsidR="0027777C" w:rsidRDefault="00000000">
      <w:pPr>
        <w:spacing w:after="120" w:line="276" w:lineRule="auto"/>
      </w:pPr>
      <w:r>
        <w:t>En audit légal, les livrables finaux comprennent notamment :</w:t>
      </w:r>
    </w:p>
    <w:p w14:paraId="55AA4591" w14:textId="77777777" w:rsidR="0027777C" w:rsidRDefault="00000000">
      <w:pPr>
        <w:pStyle w:val="Paragraphedeliste"/>
        <w:numPr>
          <w:ilvl w:val="0"/>
          <w:numId w:val="2"/>
        </w:numPr>
        <w:spacing w:after="60" w:line="270" w:lineRule="auto"/>
      </w:pPr>
      <w:r>
        <w:rPr>
          <w:b/>
          <w:bCs/>
        </w:rPr>
        <w:t xml:space="preserve">Le rapport général </w:t>
      </w:r>
      <w:r>
        <w:t>sur les comptes annuels — il porte l’opinion.</w:t>
      </w:r>
    </w:p>
    <w:p w14:paraId="003BAD9C" w14:textId="77777777" w:rsidR="0027777C" w:rsidRDefault="00000000">
      <w:pPr>
        <w:pStyle w:val="Paragraphedeliste"/>
        <w:numPr>
          <w:ilvl w:val="0"/>
          <w:numId w:val="2"/>
        </w:numPr>
        <w:spacing w:after="60" w:line="270" w:lineRule="auto"/>
      </w:pPr>
      <w:r>
        <w:rPr>
          <w:b/>
          <w:bCs/>
        </w:rPr>
        <w:t xml:space="preserve">Le rapport spécial </w:t>
      </w:r>
      <w:r>
        <w:t>sur les conventions réglementées (engagements entre la société et ses dirigeants ou associés).</w:t>
      </w:r>
    </w:p>
    <w:p w14:paraId="0C7FFCA9" w14:textId="77777777" w:rsidR="0027777C" w:rsidRDefault="00000000">
      <w:pPr>
        <w:pStyle w:val="Paragraphedeliste"/>
        <w:numPr>
          <w:ilvl w:val="0"/>
          <w:numId w:val="2"/>
        </w:numPr>
        <w:spacing w:after="60" w:line="270" w:lineRule="auto"/>
      </w:pPr>
      <w:r>
        <w:rPr>
          <w:b/>
          <w:bCs/>
        </w:rPr>
        <w:t xml:space="preserve">D’autres rapports spécifiques </w:t>
      </w:r>
      <w:r>
        <w:t>selon les opérations de l’exercice et les obligations légales applicables.</w:t>
      </w:r>
    </w:p>
    <w:p w14:paraId="250CA1B6" w14:textId="77777777" w:rsidR="0027777C" w:rsidRDefault="00000000">
      <w:pPr>
        <w:pStyle w:val="Titre2"/>
      </w:pPr>
      <w:bookmarkStart w:id="24" w:name="_Toc232936375"/>
      <w:r>
        <w:t>7.3 Obligations propres au commissaire aux comptes</w:t>
      </w:r>
      <w:bookmarkEnd w:id="24"/>
    </w:p>
    <w:p w14:paraId="70A47B74" w14:textId="77777777" w:rsidR="0027777C" w:rsidRDefault="00000000">
      <w:pPr>
        <w:spacing w:after="120" w:line="276" w:lineRule="auto"/>
      </w:pPr>
      <w:r>
        <w:t>Trois obligations n’existent qu’en audit légal et n’ont pas d’équivalent contractuel :</w:t>
      </w:r>
    </w:p>
    <w:p w14:paraId="7120F282" w14:textId="77777777" w:rsidR="0027777C" w:rsidRDefault="00000000">
      <w:pPr>
        <w:pStyle w:val="Paragraphedeliste"/>
        <w:numPr>
          <w:ilvl w:val="0"/>
          <w:numId w:val="2"/>
        </w:numPr>
        <w:spacing w:after="60" w:line="270" w:lineRule="auto"/>
      </w:pPr>
      <w:r>
        <w:rPr>
          <w:b/>
          <w:bCs/>
        </w:rPr>
        <w:t xml:space="preserve">Révélation des faits délictueux </w:t>
      </w:r>
      <w:r>
        <w:t>au procureur lorsqu’ils sont découverts.</w:t>
      </w:r>
    </w:p>
    <w:p w14:paraId="180453E6" w14:textId="77777777" w:rsidR="0027777C" w:rsidRDefault="00000000">
      <w:pPr>
        <w:pStyle w:val="Paragraphedeliste"/>
        <w:numPr>
          <w:ilvl w:val="0"/>
          <w:numId w:val="2"/>
        </w:numPr>
        <w:spacing w:after="60" w:line="270" w:lineRule="auto"/>
      </w:pPr>
      <w:r>
        <w:rPr>
          <w:b/>
          <w:bCs/>
        </w:rPr>
        <w:t xml:space="preserve">Procédure d’alerte </w:t>
      </w:r>
      <w:r>
        <w:t>lorsque la continuité d’exploitation est compromise.</w:t>
      </w:r>
    </w:p>
    <w:p w14:paraId="79135CF8" w14:textId="77777777" w:rsidR="0027777C" w:rsidRDefault="00000000">
      <w:pPr>
        <w:pStyle w:val="Paragraphedeliste"/>
        <w:numPr>
          <w:ilvl w:val="0"/>
          <w:numId w:val="2"/>
        </w:numPr>
        <w:spacing w:after="60" w:line="270" w:lineRule="auto"/>
      </w:pPr>
      <w:r>
        <w:rPr>
          <w:b/>
          <w:bCs/>
        </w:rPr>
        <w:t xml:space="preserve">Communication à la gouvernance </w:t>
      </w:r>
      <w:r>
        <w:t>des constats significatifs.</w:t>
      </w:r>
    </w:p>
    <w:p w14:paraId="76E27BB2" w14:textId="77777777" w:rsidR="0027777C" w:rsidRDefault="00000000">
      <w:pPr>
        <w:pBdr>
          <w:left w:val="single" w:sz="18" w:space="12" w:color="E8A020"/>
        </w:pBdr>
        <w:spacing w:before="40" w:after="80" w:line="272" w:lineRule="auto"/>
        <w:ind w:left="240"/>
      </w:pPr>
      <w:r>
        <w:rPr>
          <w:b/>
          <w:bCs/>
          <w:color w:val="9A6A10"/>
        </w:rPr>
        <w:t xml:space="preserve">Embranchement — </w:t>
      </w:r>
      <w:r>
        <w:t>Le choix entre les quatre opinions découle directement de deux axes : gravité (anomalie / désaccord) et étendue (circonscrit / généralisé), croisés avec la nature du problème (désaccord vs limitation des travaux). C’est une matrice de décision modélisable.</w:t>
      </w:r>
    </w:p>
    <w:p w14:paraId="69B04131" w14:textId="77777777" w:rsidR="0027777C" w:rsidRDefault="00000000">
      <w:pPr>
        <w:spacing w:before="40" w:after="120" w:line="272" w:lineRule="auto"/>
      </w:pPr>
      <w:r>
        <w:rPr>
          <w:b/>
          <w:bCs/>
          <w:color w:val="1D9E75"/>
        </w:rPr>
        <w:t xml:space="preserve">Livrable(s) : </w:t>
      </w:r>
      <w:r>
        <w:rPr>
          <w:i/>
          <w:iCs/>
        </w:rPr>
        <w:t>Rapport général portant l’opinion ; rapport spécial ; rapports spécifiques ; communications légales le cas échéant.</w:t>
      </w:r>
    </w:p>
    <w:p w14:paraId="29C1D370" w14:textId="77777777" w:rsidR="0027777C" w:rsidRDefault="00000000">
      <w:pPr>
        <w:pBdr>
          <w:left w:val="single" w:sz="18" w:space="12" w:color="1D9E75"/>
        </w:pBdr>
        <w:shd w:val="clear" w:color="auto" w:fill="F2F6F4"/>
        <w:spacing w:before="80" w:after="160" w:line="272" w:lineRule="auto"/>
        <w:ind w:left="240"/>
      </w:pPr>
      <w:r>
        <w:rPr>
          <w:b/>
          <w:bCs/>
          <w:color w:val="085041"/>
        </w:rPr>
        <w:t xml:space="preserve">Pour le logiciel — </w:t>
      </w:r>
      <w:r>
        <w:t>Modéliser la sélection d’opinion comme une matrice (gravité × étendue × nature) qui propose le type d’opinion et le squelette de rapport correspondant. Générer les rapports depuis des modèles paramétrés par la nature de mission. L’outil propose ; l’auditeur tranche et signe.</w:t>
      </w:r>
    </w:p>
    <w:p w14:paraId="0BD932FA" w14:textId="77777777" w:rsidR="0027777C" w:rsidRDefault="0027777C">
      <w:pPr>
        <w:spacing w:after="120"/>
      </w:pPr>
    </w:p>
    <w:p w14:paraId="268558A5" w14:textId="77777777" w:rsidR="0027777C" w:rsidRDefault="00000000">
      <w:pPr>
        <w:pStyle w:val="Titre1"/>
      </w:pPr>
      <w:bookmarkStart w:id="25" w:name="_Toc232936376"/>
      <w:r>
        <w:lastRenderedPageBreak/>
        <w:t>8. Le dossier de travail — votre véritable livrable et votre modèle de données</w:t>
      </w:r>
      <w:bookmarkEnd w:id="25"/>
    </w:p>
    <w:p w14:paraId="64A671C7" w14:textId="77777777" w:rsidR="0027777C" w:rsidRDefault="00000000">
      <w:pPr>
        <w:spacing w:after="120" w:line="276" w:lineRule="auto"/>
      </w:pPr>
      <w:r>
        <w:t>Tout au long de la mission, l’auditeur alimente un dossier de travail qui matérialise et justifie son opinion. C’est l’objet central autour duquel l’outil doit s’organiser.</w:t>
      </w:r>
    </w:p>
    <w:p w14:paraId="6067D634" w14:textId="77777777" w:rsidR="0027777C" w:rsidRDefault="00000000">
      <w:pPr>
        <w:pStyle w:val="Titre2"/>
      </w:pPr>
      <w:bookmarkStart w:id="26" w:name="_Toc232936377"/>
      <w:r>
        <w:t>8.1 Les deux compartiments</w:t>
      </w:r>
      <w:bookmarkEnd w:id="26"/>
    </w:p>
    <w:p w14:paraId="0A916CD9" w14:textId="77777777" w:rsidR="0027777C" w:rsidRDefault="00000000">
      <w:pPr>
        <w:spacing w:after="120" w:line="276" w:lineRule="auto"/>
      </w:pPr>
      <w:r>
        <w:rPr>
          <w:b/>
          <w:bCs/>
          <w:color w:val="085041"/>
        </w:rPr>
        <w:t xml:space="preserve">Dossier permanent. </w:t>
      </w:r>
      <w:r>
        <w:t>Informations stables et pluriannuelles : statuts, organigramme, contrats importants, descriptions de cycles, historique des mandats. On le met à jour d’une année sur l’autre.</w:t>
      </w:r>
    </w:p>
    <w:p w14:paraId="08098026" w14:textId="77777777" w:rsidR="0027777C" w:rsidRDefault="00000000">
      <w:pPr>
        <w:spacing w:after="120" w:line="276" w:lineRule="auto"/>
      </w:pPr>
      <w:r>
        <w:rPr>
          <w:b/>
          <w:bCs/>
          <w:color w:val="085041"/>
        </w:rPr>
        <w:t xml:space="preserve">Dossier annuel (ou courant). </w:t>
      </w:r>
      <w:r>
        <w:t>Tous les travaux de l’exercice : plan de mission, programme, feuilles de travail, justificatifs, synthèses, rapports.</w:t>
      </w:r>
    </w:p>
    <w:p w14:paraId="6F85F7EF" w14:textId="77777777" w:rsidR="0027777C" w:rsidRDefault="00000000">
      <w:pPr>
        <w:pStyle w:val="Titre2"/>
      </w:pPr>
      <w:bookmarkStart w:id="27" w:name="_Toc232936378"/>
      <w:r>
        <w:t>8.2 Le principe d’or : traçabilité et supervision</w:t>
      </w:r>
      <w:bookmarkEnd w:id="27"/>
    </w:p>
    <w:p w14:paraId="01858CA1" w14:textId="77777777" w:rsidR="0027777C" w:rsidRDefault="00000000">
      <w:pPr>
        <w:spacing w:after="120" w:line="276" w:lineRule="auto"/>
      </w:pPr>
      <w:r>
        <w:t>Chaque conclusion doit être justifiée par une preuve, et chaque travail revu hiérarchiquement. C’est l’exigence normative la plus structurante pour un logiciel : rien ne doit exister sans origine ni justification.</w:t>
      </w:r>
    </w:p>
    <w:p w14:paraId="7B70B940" w14:textId="77777777" w:rsidR="0027777C" w:rsidRDefault="00000000">
      <w:pPr>
        <w:pStyle w:val="Titre2"/>
      </w:pPr>
      <w:bookmarkStart w:id="28" w:name="_Toc232936379"/>
      <w:r>
        <w:t>8.3 Modèle de données suggéré</w:t>
      </w:r>
      <w:bookmarkEnd w:id="28"/>
    </w:p>
    <w:p w14:paraId="2E7FD85E" w14:textId="77777777" w:rsidR="0027777C" w:rsidRDefault="00000000">
      <w:pPr>
        <w:spacing w:after="120" w:line="276" w:lineRule="auto"/>
      </w:pPr>
      <w:r>
        <w:t>Une traduction directe en entités pour la base par projet :</w:t>
      </w:r>
    </w:p>
    <w:p w14:paraId="799C66C9" w14:textId="77777777" w:rsidR="0027777C" w:rsidRDefault="00000000">
      <w:pPr>
        <w:pStyle w:val="Paragraphedeliste"/>
        <w:numPr>
          <w:ilvl w:val="0"/>
          <w:numId w:val="2"/>
        </w:numPr>
        <w:spacing w:after="60" w:line="270" w:lineRule="auto"/>
      </w:pPr>
      <w:r>
        <w:rPr>
          <w:b/>
          <w:bCs/>
        </w:rPr>
        <w:t xml:space="preserve">Dossier (projet) </w:t>
      </w:r>
      <w:r>
        <w:t>— nature de mission, exercice, référentiel, seuils, statut.</w:t>
      </w:r>
    </w:p>
    <w:p w14:paraId="002028A8" w14:textId="77777777" w:rsidR="0027777C" w:rsidRDefault="00000000">
      <w:pPr>
        <w:pStyle w:val="Paragraphedeliste"/>
        <w:numPr>
          <w:ilvl w:val="0"/>
          <w:numId w:val="2"/>
        </w:numPr>
        <w:spacing w:after="60" w:line="270" w:lineRule="auto"/>
      </w:pPr>
      <w:r>
        <w:rPr>
          <w:b/>
          <w:bCs/>
        </w:rPr>
        <w:t xml:space="preserve">Dossier permanent </w:t>
      </w:r>
      <w:r>
        <w:t>— pièces stables, réutilisées d’un exercice à l’autre.</w:t>
      </w:r>
    </w:p>
    <w:p w14:paraId="6CC45D6A" w14:textId="77777777" w:rsidR="0027777C" w:rsidRDefault="00000000">
      <w:pPr>
        <w:pStyle w:val="Paragraphedeliste"/>
        <w:numPr>
          <w:ilvl w:val="0"/>
          <w:numId w:val="2"/>
        </w:numPr>
        <w:spacing w:after="60" w:line="270" w:lineRule="auto"/>
      </w:pPr>
      <w:r>
        <w:rPr>
          <w:b/>
          <w:bCs/>
        </w:rPr>
        <w:t xml:space="preserve">Cycle </w:t>
      </w:r>
      <w:r>
        <w:t>— rattache risques, contrôles internes, programme et feuilles de travail.</w:t>
      </w:r>
    </w:p>
    <w:p w14:paraId="4440A80A" w14:textId="77777777" w:rsidR="0027777C" w:rsidRDefault="00000000">
      <w:pPr>
        <w:pStyle w:val="Paragraphedeliste"/>
        <w:numPr>
          <w:ilvl w:val="0"/>
          <w:numId w:val="2"/>
        </w:numPr>
        <w:spacing w:after="60" w:line="270" w:lineRule="auto"/>
      </w:pPr>
      <w:r>
        <w:rPr>
          <w:b/>
          <w:bCs/>
        </w:rPr>
        <w:t xml:space="preserve">Risque </w:t>
      </w:r>
      <w:r>
        <w:t>— niveau, assertion(s) visée(s), réponse d’audit associée.</w:t>
      </w:r>
    </w:p>
    <w:p w14:paraId="7F7B6B82" w14:textId="77777777" w:rsidR="0027777C" w:rsidRDefault="00000000">
      <w:pPr>
        <w:pStyle w:val="Paragraphedeliste"/>
        <w:numPr>
          <w:ilvl w:val="0"/>
          <w:numId w:val="2"/>
        </w:numPr>
        <w:spacing w:after="60" w:line="270" w:lineRule="auto"/>
      </w:pPr>
      <w:r>
        <w:rPr>
          <w:b/>
          <w:bCs/>
        </w:rPr>
        <w:t xml:space="preserve">Feuille de travail </w:t>
      </w:r>
      <w:r>
        <w:t>— objectif, étendue, éléments examinés, conclusion, statut de revue.</w:t>
      </w:r>
    </w:p>
    <w:p w14:paraId="3CD85F4D" w14:textId="77777777" w:rsidR="0027777C" w:rsidRDefault="00000000">
      <w:pPr>
        <w:pStyle w:val="Paragraphedeliste"/>
        <w:numPr>
          <w:ilvl w:val="0"/>
          <w:numId w:val="2"/>
        </w:numPr>
        <w:spacing w:after="60" w:line="270" w:lineRule="auto"/>
      </w:pPr>
      <w:r>
        <w:rPr>
          <w:b/>
          <w:bCs/>
        </w:rPr>
        <w:t xml:space="preserve">Anomalie </w:t>
      </w:r>
      <w:r>
        <w:t>— montant, assertion, statut (corrigée / non corrigée), pièce d’origine.</w:t>
      </w:r>
    </w:p>
    <w:p w14:paraId="53CCD73A" w14:textId="77777777" w:rsidR="0027777C" w:rsidRDefault="00000000">
      <w:pPr>
        <w:pStyle w:val="Paragraphedeliste"/>
        <w:numPr>
          <w:ilvl w:val="0"/>
          <w:numId w:val="2"/>
        </w:numPr>
        <w:spacing w:after="60" w:line="270" w:lineRule="auto"/>
      </w:pPr>
      <w:r>
        <w:rPr>
          <w:b/>
          <w:bCs/>
        </w:rPr>
        <w:t xml:space="preserve">Seuils </w:t>
      </w:r>
      <w:r>
        <w:t>— global, de travail, de remontée.</w:t>
      </w:r>
    </w:p>
    <w:p w14:paraId="7469A622" w14:textId="77777777" w:rsidR="0027777C" w:rsidRDefault="00000000">
      <w:pPr>
        <w:pStyle w:val="Paragraphedeliste"/>
        <w:numPr>
          <w:ilvl w:val="0"/>
          <w:numId w:val="2"/>
        </w:numPr>
        <w:spacing w:after="60" w:line="270" w:lineRule="auto"/>
      </w:pPr>
      <w:r>
        <w:rPr>
          <w:b/>
          <w:bCs/>
        </w:rPr>
        <w:t xml:space="preserve">Pièce / preuve </w:t>
      </w:r>
      <w:r>
        <w:t>— document source, avec lien de provenance vers les éléments qui s’en servent.</w:t>
      </w:r>
    </w:p>
    <w:p w14:paraId="14174CEE" w14:textId="77777777" w:rsidR="0027777C" w:rsidRDefault="00000000">
      <w:pPr>
        <w:pStyle w:val="Paragraphedeliste"/>
        <w:numPr>
          <w:ilvl w:val="0"/>
          <w:numId w:val="2"/>
        </w:numPr>
        <w:spacing w:after="60" w:line="270" w:lineRule="auto"/>
      </w:pPr>
      <w:r>
        <w:rPr>
          <w:b/>
          <w:bCs/>
        </w:rPr>
        <w:t xml:space="preserve">Trace / provenance </w:t>
      </w:r>
      <w:r>
        <w:t>— qui, quoi, quand, à partir de quelle source : transversale à tout.</w:t>
      </w:r>
    </w:p>
    <w:p w14:paraId="5CEF1390" w14:textId="77777777" w:rsidR="0027777C" w:rsidRDefault="00000000">
      <w:pPr>
        <w:pBdr>
          <w:left w:val="single" w:sz="18" w:space="12" w:color="1D9E75"/>
        </w:pBdr>
        <w:shd w:val="clear" w:color="auto" w:fill="F2F6F4"/>
        <w:spacing w:before="80" w:after="160" w:line="272" w:lineRule="auto"/>
        <w:ind w:left="240"/>
      </w:pPr>
      <w:r>
        <w:rPr>
          <w:b/>
          <w:bCs/>
          <w:color w:val="085041"/>
        </w:rPr>
        <w:t xml:space="preserve">Pour le logiciel — </w:t>
      </w:r>
      <w:r>
        <w:t>Le couple « dossier permanent / dossier annuel » est le bon point de départ du schéma de données. La traçabilité que vous avez placée au cœur de l’architecture de Probare répond précisément à l’exigence normative de justification du dossier : c’est un atout différenciant, pas un détail technique.</w:t>
      </w:r>
    </w:p>
    <w:p w14:paraId="5ACE51A1" w14:textId="77777777" w:rsidR="0027777C" w:rsidRDefault="0027777C">
      <w:pPr>
        <w:spacing w:after="120"/>
      </w:pPr>
    </w:p>
    <w:p w14:paraId="381E70EB" w14:textId="77777777" w:rsidR="0027777C" w:rsidRDefault="00000000">
      <w:pPr>
        <w:pStyle w:val="Titre1"/>
      </w:pPr>
      <w:bookmarkStart w:id="29" w:name="_Toc232936380"/>
      <w:r>
        <w:t>9. Synthèse des embranchements décisionnels</w:t>
      </w:r>
      <w:bookmarkEnd w:id="29"/>
    </w:p>
    <w:p w14:paraId="02DEC2A3" w14:textId="77777777" w:rsidR="0027777C" w:rsidRDefault="00000000">
      <w:pPr>
        <w:spacing w:after="120" w:line="276" w:lineRule="auto"/>
      </w:pPr>
      <w:r>
        <w:t>Les bifurcations à modéliser dans l’outil, regroupées :</w:t>
      </w:r>
    </w:p>
    <w:p w14:paraId="36DDA3D5" w14:textId="77777777" w:rsidR="0027777C" w:rsidRDefault="00000000">
      <w:pPr>
        <w:pStyle w:val="Paragraphedeliste"/>
        <w:numPr>
          <w:ilvl w:val="0"/>
          <w:numId w:val="6"/>
        </w:numPr>
        <w:spacing w:after="80" w:line="272" w:lineRule="auto"/>
      </w:pPr>
      <w:r>
        <w:rPr>
          <w:b/>
          <w:bCs/>
        </w:rPr>
        <w:t xml:space="preserve">Accepter ou refuser </w:t>
      </w:r>
      <w:r>
        <w:t>la mission (phase 0) — selon indépendance, risque, ressources.</w:t>
      </w:r>
    </w:p>
    <w:p w14:paraId="6FE2FA32" w14:textId="77777777" w:rsidR="0027777C" w:rsidRDefault="00000000">
      <w:pPr>
        <w:pStyle w:val="Paragraphedeliste"/>
        <w:numPr>
          <w:ilvl w:val="0"/>
          <w:numId w:val="6"/>
        </w:numPr>
        <w:spacing w:after="80" w:line="272" w:lineRule="auto"/>
      </w:pPr>
      <w:r>
        <w:rPr>
          <w:b/>
          <w:bCs/>
        </w:rPr>
        <w:lastRenderedPageBreak/>
        <w:t xml:space="preserve">Légale ou contractuelle </w:t>
      </w:r>
      <w:r>
        <w:t>— active ou non les procédures et rapports spécifiques.</w:t>
      </w:r>
    </w:p>
    <w:p w14:paraId="71A53C82" w14:textId="77777777" w:rsidR="0027777C" w:rsidRDefault="00000000">
      <w:pPr>
        <w:pStyle w:val="Paragraphedeliste"/>
        <w:numPr>
          <w:ilvl w:val="0"/>
          <w:numId w:val="6"/>
        </w:numPr>
        <w:spacing w:after="80" w:line="272" w:lineRule="auto"/>
      </w:pPr>
      <w:r>
        <w:rPr>
          <w:b/>
          <w:bCs/>
        </w:rPr>
        <w:t xml:space="preserve">Première mission ou récurrente </w:t>
      </w:r>
      <w:r>
        <w:t>— intensité de la prise de connaissance et contrôle des soldes d’ouverture.</w:t>
      </w:r>
    </w:p>
    <w:p w14:paraId="6B0F3A3D" w14:textId="77777777" w:rsidR="0027777C" w:rsidRDefault="00000000">
      <w:pPr>
        <w:pStyle w:val="Paragraphedeliste"/>
        <w:numPr>
          <w:ilvl w:val="0"/>
          <w:numId w:val="6"/>
        </w:numPr>
        <w:spacing w:after="80" w:line="272" w:lineRule="auto"/>
      </w:pPr>
      <w:r>
        <w:rPr>
          <w:b/>
          <w:bCs/>
        </w:rPr>
        <w:t xml:space="preserve">Approche par les contrôles ou substantive </w:t>
      </w:r>
      <w:r>
        <w:t>(phase 2) — selon la fiabilité du contrôle interne ; pilote l’étendue de la phase 3.</w:t>
      </w:r>
    </w:p>
    <w:p w14:paraId="423A2F78" w14:textId="77777777" w:rsidR="0027777C" w:rsidRDefault="00000000">
      <w:pPr>
        <w:pStyle w:val="Paragraphedeliste"/>
        <w:numPr>
          <w:ilvl w:val="0"/>
          <w:numId w:val="6"/>
        </w:numPr>
        <w:spacing w:after="80" w:line="272" w:lineRule="auto"/>
      </w:pPr>
      <w:r>
        <w:rPr>
          <w:b/>
          <w:bCs/>
        </w:rPr>
        <w:t xml:space="preserve">Cumul des anomalies ≷ seuil </w:t>
      </w:r>
      <w:r>
        <w:t>(phase 4) — oriente le sens de l’opinion.</w:t>
      </w:r>
    </w:p>
    <w:p w14:paraId="4D3BEB6E" w14:textId="77777777" w:rsidR="0027777C" w:rsidRDefault="00000000">
      <w:pPr>
        <w:pStyle w:val="Paragraphedeliste"/>
        <w:numPr>
          <w:ilvl w:val="0"/>
          <w:numId w:val="6"/>
        </w:numPr>
        <w:spacing w:after="80" w:line="272" w:lineRule="auto"/>
      </w:pPr>
      <w:r>
        <w:rPr>
          <w:b/>
          <w:bCs/>
        </w:rPr>
        <w:t xml:space="preserve">Type d’opinion </w:t>
      </w:r>
      <w:r>
        <w:t>(phase 5) — matrice gravité × étendue × nature du problème.</w:t>
      </w:r>
    </w:p>
    <w:p w14:paraId="0EC3B6D4" w14:textId="77777777" w:rsidR="0027777C" w:rsidRDefault="00000000">
      <w:pPr>
        <w:pStyle w:val="Paragraphedeliste"/>
        <w:numPr>
          <w:ilvl w:val="0"/>
          <w:numId w:val="6"/>
        </w:numPr>
        <w:spacing w:after="80" w:line="272" w:lineRule="auto"/>
      </w:pPr>
      <w:r>
        <w:rPr>
          <w:b/>
          <w:bCs/>
        </w:rPr>
        <w:t xml:space="preserve">Procédures spéciales du CAC </w:t>
      </w:r>
      <w:r>
        <w:t>— alerte, révélation, conventions réglementées, déclenchées par des constats spécifiques.</w:t>
      </w:r>
    </w:p>
    <w:p w14:paraId="05498AA8" w14:textId="77777777" w:rsidR="0027777C" w:rsidRDefault="0027777C">
      <w:pPr>
        <w:spacing w:after="120"/>
      </w:pPr>
    </w:p>
    <w:p w14:paraId="715905E0" w14:textId="77777777" w:rsidR="0027777C" w:rsidRDefault="00000000">
      <w:pPr>
        <w:pStyle w:val="Titre1"/>
      </w:pPr>
      <w:bookmarkStart w:id="30" w:name="_Toc232936381"/>
      <w:r>
        <w:t>10. Implications consolidées pour le logiciel d’assistance</w:t>
      </w:r>
      <w:bookmarkEnd w:id="30"/>
    </w:p>
    <w:p w14:paraId="7F436113" w14:textId="77777777" w:rsidR="0027777C" w:rsidRDefault="00000000">
      <w:pPr>
        <w:spacing w:after="120" w:line="276" w:lineRule="auto"/>
      </w:pPr>
      <w:r>
        <w:t>Les points essentiels, rassemblés pour servir de cahier d’orientation fonctionnelle :</w:t>
      </w:r>
    </w:p>
    <w:p w14:paraId="56F01C19" w14:textId="77777777" w:rsidR="0027777C" w:rsidRDefault="00000000">
      <w:pPr>
        <w:pStyle w:val="Paragraphedeliste"/>
        <w:numPr>
          <w:ilvl w:val="0"/>
          <w:numId w:val="2"/>
        </w:numPr>
        <w:spacing w:after="60" w:line="270" w:lineRule="auto"/>
      </w:pPr>
      <w:r>
        <w:rPr>
          <w:b/>
          <w:bCs/>
        </w:rPr>
        <w:t xml:space="preserve">Architecture par cycles et assertions. </w:t>
      </w:r>
      <w:r>
        <w:t>C’est le squelette mental des auditeurs ; l’interface doit l’épouser.</w:t>
      </w:r>
    </w:p>
    <w:p w14:paraId="5472D135" w14:textId="77777777" w:rsidR="0027777C" w:rsidRDefault="00000000">
      <w:pPr>
        <w:pStyle w:val="Paragraphedeliste"/>
        <w:numPr>
          <w:ilvl w:val="0"/>
          <w:numId w:val="2"/>
        </w:numPr>
        <w:spacing w:after="60" w:line="270" w:lineRule="auto"/>
      </w:pPr>
      <w:r>
        <w:rPr>
          <w:b/>
          <w:bCs/>
        </w:rPr>
        <w:t xml:space="preserve">Dossier permanent / dossier annuel. </w:t>
      </w:r>
      <w:r>
        <w:t>Modèle de données de base, avec report d’un exercice à l’autre.</w:t>
      </w:r>
    </w:p>
    <w:p w14:paraId="53D0CE32" w14:textId="77777777" w:rsidR="0027777C" w:rsidRDefault="00000000">
      <w:pPr>
        <w:pStyle w:val="Paragraphedeliste"/>
        <w:numPr>
          <w:ilvl w:val="0"/>
          <w:numId w:val="2"/>
        </w:numPr>
        <w:spacing w:after="60" w:line="270" w:lineRule="auto"/>
      </w:pPr>
      <w:r>
        <w:rPr>
          <w:b/>
          <w:bCs/>
        </w:rPr>
        <w:t xml:space="preserve">Seuil de signification transversal. </w:t>
      </w:r>
      <w:r>
        <w:t>Paramètre central qui module dynamiquement l’étendue suggérée des contrôles et déclenche la confrontation finale des anomalies.</w:t>
      </w:r>
    </w:p>
    <w:p w14:paraId="0C833C3E" w14:textId="77777777" w:rsidR="0027777C" w:rsidRDefault="00000000">
      <w:pPr>
        <w:pStyle w:val="Paragraphedeliste"/>
        <w:numPr>
          <w:ilvl w:val="0"/>
          <w:numId w:val="2"/>
        </w:numPr>
        <w:spacing w:after="60" w:line="270" w:lineRule="auto"/>
      </w:pPr>
      <w:r>
        <w:rPr>
          <w:b/>
          <w:bCs/>
        </w:rPr>
        <w:t xml:space="preserve">Registre central des anomalies. </w:t>
      </w:r>
      <w:r>
        <w:t>Alimenté en continu, agrégé en fin de mission, relié à l’opinion.</w:t>
      </w:r>
    </w:p>
    <w:p w14:paraId="21AAD577" w14:textId="77777777" w:rsidR="0027777C" w:rsidRDefault="00000000">
      <w:pPr>
        <w:pStyle w:val="Paragraphedeliste"/>
        <w:numPr>
          <w:ilvl w:val="0"/>
          <w:numId w:val="2"/>
        </w:numPr>
        <w:spacing w:after="60" w:line="270" w:lineRule="auto"/>
      </w:pPr>
      <w:r>
        <w:rPr>
          <w:b/>
          <w:bCs/>
        </w:rPr>
        <w:t xml:space="preserve">Traçabilité / provenance native. </w:t>
      </w:r>
      <w:r>
        <w:t>Chaque sortie reliée à sa source — exigence normative et différenciateur.</w:t>
      </w:r>
    </w:p>
    <w:p w14:paraId="31CBFFE3" w14:textId="77777777" w:rsidR="0027777C" w:rsidRDefault="00000000">
      <w:pPr>
        <w:pStyle w:val="Paragraphedeliste"/>
        <w:numPr>
          <w:ilvl w:val="0"/>
          <w:numId w:val="2"/>
        </w:numPr>
        <w:spacing w:after="60" w:line="270" w:lineRule="auto"/>
      </w:pPr>
      <w:r>
        <w:rPr>
          <w:b/>
          <w:bCs/>
        </w:rPr>
        <w:t xml:space="preserve">Génération documentaire depuis modèles. </w:t>
      </w:r>
      <w:r>
        <w:t>Lettre de mission, lettre d’affirmation, rapports — paramétrés par la nature de mission.</w:t>
      </w:r>
    </w:p>
    <w:p w14:paraId="7A247024" w14:textId="77777777" w:rsidR="0027777C" w:rsidRDefault="00000000">
      <w:pPr>
        <w:pStyle w:val="Paragraphedeliste"/>
        <w:numPr>
          <w:ilvl w:val="0"/>
          <w:numId w:val="2"/>
        </w:numPr>
        <w:spacing w:after="60" w:line="270" w:lineRule="auto"/>
      </w:pPr>
      <w:r>
        <w:rPr>
          <w:b/>
          <w:bCs/>
        </w:rPr>
        <w:t xml:space="preserve">Modules activables selon la nature de mission. </w:t>
      </w:r>
      <w:r>
        <w:t>Les procédures propres au CAC ne s’affichent qu’en audit légal.</w:t>
      </w:r>
    </w:p>
    <w:p w14:paraId="62EF1C9F" w14:textId="77777777" w:rsidR="0027777C" w:rsidRDefault="00000000">
      <w:pPr>
        <w:pStyle w:val="Paragraphedeliste"/>
        <w:numPr>
          <w:ilvl w:val="0"/>
          <w:numId w:val="2"/>
        </w:numPr>
        <w:spacing w:after="60" w:line="270" w:lineRule="auto"/>
      </w:pPr>
      <w:r>
        <w:rPr>
          <w:b/>
          <w:bCs/>
        </w:rPr>
        <w:t xml:space="preserve">Le logiciel propose, l’auditeur décide. </w:t>
      </w:r>
      <w:r>
        <w:t>Toute suggestion issue d’un raisonnement reste modifiable, justifiée et révisable.</w:t>
      </w:r>
    </w:p>
    <w:p w14:paraId="0A29F03C" w14:textId="77777777" w:rsidR="0027777C" w:rsidRDefault="0027777C">
      <w:pPr>
        <w:spacing w:after="120"/>
      </w:pPr>
    </w:p>
    <w:p w14:paraId="05F1D391" w14:textId="77777777" w:rsidR="0027777C" w:rsidRDefault="00000000">
      <w:pPr>
        <w:pStyle w:val="Titre1"/>
      </w:pPr>
      <w:bookmarkStart w:id="31" w:name="_Toc232936382"/>
      <w:r>
        <w:t>11. Cartographie IA / déterministe</w:t>
      </w:r>
      <w:bookmarkEnd w:id="31"/>
    </w:p>
    <w:p w14:paraId="294E03C5" w14:textId="77777777" w:rsidR="0027777C" w:rsidRDefault="00000000">
      <w:pPr>
        <w:spacing w:after="120" w:line="276" w:lineRule="auto"/>
      </w:pPr>
      <w:r>
        <w:t>La ligne de partage que vous avez posée dans l’architecture de Probare — calcul déterministe d’un côté, raisonnement probabiliste de l’autre, avec provenance complète — se projette naturellement sur les phases d’audit.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7777C" w:rsidRPr="00D62174" w14:paraId="6B366E51"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vAlign w:val="center"/>
          </w:tcPr>
          <w:p w14:paraId="30F368D8" w14:textId="77777777" w:rsidR="0027777C" w:rsidRDefault="00000000">
            <w:r>
              <w:rPr>
                <w:b/>
                <w:bCs/>
                <w:color w:val="FFFFFF"/>
              </w:rPr>
              <w:t>Traitement déterministe (calcul, vérifiable)</w:t>
            </w:r>
          </w:p>
        </w:tc>
        <w:tc>
          <w:tcPr>
            <w:tcW w:w="468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vAlign w:val="center"/>
          </w:tcPr>
          <w:p w14:paraId="0509FCDD" w14:textId="77777777" w:rsidR="0027777C" w:rsidRPr="00D62174" w:rsidRDefault="00000000">
            <w:pPr>
              <w:rPr>
                <w:lang w:val="pt-BR"/>
              </w:rPr>
            </w:pPr>
            <w:r w:rsidRPr="00D62174">
              <w:rPr>
                <w:b/>
                <w:bCs/>
                <w:color w:val="FFFFFF"/>
                <w:lang w:val="pt-BR"/>
              </w:rPr>
              <w:t>Assistance probabiliste (IA, à valider)</w:t>
            </w:r>
          </w:p>
        </w:tc>
      </w:tr>
      <w:tr w:rsidR="0027777C" w14:paraId="2C1A85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223316EF" w14:textId="77777777" w:rsidR="0027777C" w:rsidRDefault="00000000">
            <w:r>
              <w:t>Imports et normalisation de la balance</w:t>
            </w:r>
          </w:p>
        </w:tc>
        <w:tc>
          <w:tcPr>
            <w:tcW w:w="468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1D038BE5" w14:textId="77777777" w:rsidR="0027777C" w:rsidRDefault="00000000">
            <w:r>
              <w:t>Cartographie des risques par cycle/assertion</w:t>
            </w:r>
          </w:p>
        </w:tc>
      </w:tr>
      <w:tr w:rsidR="0027777C" w14:paraId="322A59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70A657" w14:textId="77777777" w:rsidR="0027777C" w:rsidRDefault="00000000">
            <w:r>
              <w:lastRenderedPageBreak/>
              <w:t>Totalisations, rapprochements, recalculs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AA090F" w14:textId="77777777" w:rsidR="0027777C" w:rsidRDefault="00000000">
            <w:r>
              <w:t>Revue analytique : interprétation des variations</w:t>
            </w:r>
          </w:p>
        </w:tc>
      </w:tr>
      <w:tr w:rsidR="0027777C" w14:paraId="53C616E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1DC39651" w14:textId="77777777" w:rsidR="0027777C" w:rsidRDefault="00000000">
            <w:r>
              <w:t>Calcul des seuils à partir des agrégats</w:t>
            </w:r>
          </w:p>
        </w:tc>
        <w:tc>
          <w:tcPr>
            <w:tcW w:w="468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736A6588" w14:textId="77777777" w:rsidR="0027777C" w:rsidRDefault="00000000">
            <w:r>
              <w:t>Détection d’incohérences et d’anomalies</w:t>
            </w:r>
          </w:p>
        </w:tc>
      </w:tr>
      <w:tr w:rsidR="0027777C" w14:paraId="1A2754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6894F8" w14:textId="77777777" w:rsidR="0027777C" w:rsidRDefault="00000000">
            <w:r>
              <w:t>Sélection d’échantillons (traçable, reproductible)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27E920" w14:textId="77777777" w:rsidR="0027777C" w:rsidRDefault="00000000">
            <w:r>
              <w:t>Qualification proposée des anomalies</w:t>
            </w:r>
          </w:p>
        </w:tc>
      </w:tr>
      <w:tr w:rsidR="0027777C" w14:paraId="328D02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71DBF7D4" w14:textId="77777777" w:rsidR="0027777C" w:rsidRDefault="00000000">
            <w:r>
              <w:t>Cumul des anomalies vs seuil</w:t>
            </w:r>
          </w:p>
        </w:tc>
        <w:tc>
          <w:tcPr>
            <w:tcW w:w="4680" w:type="dxa"/>
            <w:tcBorders>
              <w:top w:val="single" w:sz="1" w:space="0" w:color="CCCCCC"/>
              <w:left w:val="single" w:sz="1" w:space="0" w:color="CCCCCC"/>
              <w:bottom w:val="single" w:sz="1" w:space="0" w:color="CCCCCC"/>
              <w:right w:val="single" w:sz="1" w:space="0" w:color="CCCCCC"/>
            </w:tcBorders>
            <w:shd w:val="clear" w:color="auto" w:fill="F2F6F4"/>
            <w:tcMar>
              <w:top w:w="70" w:type="dxa"/>
              <w:left w:w="120" w:type="dxa"/>
              <w:bottom w:w="70" w:type="dxa"/>
              <w:right w:w="120" w:type="dxa"/>
            </w:tcMar>
            <w:vAlign w:val="center"/>
          </w:tcPr>
          <w:p w14:paraId="1EBF78E1" w14:textId="77777777" w:rsidR="0027777C" w:rsidRDefault="00000000">
            <w:r>
              <w:t>Rédaction de mémos et de synthèses</w:t>
            </w:r>
          </w:p>
        </w:tc>
      </w:tr>
      <w:tr w:rsidR="0027777C" w14:paraId="23FC62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AFE76D" w14:textId="77777777" w:rsidR="0027777C" w:rsidRDefault="00000000">
            <w:r>
              <w:t>Génération de documents depuis modèles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4E32B8" w14:textId="77777777" w:rsidR="0027777C" w:rsidRDefault="00000000">
            <w:r>
              <w:t>Proposition de type d’opinion (jamais décision)</w:t>
            </w:r>
          </w:p>
        </w:tc>
      </w:tr>
    </w:tbl>
    <w:p w14:paraId="245A0363" w14:textId="77777777" w:rsidR="0027777C" w:rsidRDefault="0027777C">
      <w:pPr>
        <w:spacing w:after="80"/>
      </w:pPr>
    </w:p>
    <w:p w14:paraId="2C40C17C" w14:textId="77777777" w:rsidR="0027777C" w:rsidRDefault="00000000">
      <w:pPr>
        <w:spacing w:after="120" w:line="276" w:lineRule="auto"/>
      </w:pPr>
      <w:r>
        <w:rPr>
          <w:b/>
          <w:bCs/>
          <w:color w:val="085041"/>
        </w:rPr>
        <w:t xml:space="preserve">Règle transversale : </w:t>
      </w:r>
      <w:r>
        <w:t>toute sortie de la colonne de droite est une proposition tracée, rattachée à ses sources, modifiable et révisable par l’auditeur. Le déterministe fournit les chiffres ; l’IA aide à les interpréter ; l’humain conclut et signe.</w:t>
      </w:r>
    </w:p>
    <w:p w14:paraId="4B4B87B1" w14:textId="77777777" w:rsidR="0027777C" w:rsidRDefault="0027777C">
      <w:pPr>
        <w:spacing w:after="120"/>
      </w:pPr>
    </w:p>
    <w:p w14:paraId="2BA15C61" w14:textId="77777777" w:rsidR="0027777C" w:rsidRDefault="00000000">
      <w:pPr>
        <w:pStyle w:val="Titre1"/>
      </w:pPr>
      <w:bookmarkStart w:id="32" w:name="_Toc232936383"/>
      <w:r>
        <w:t>12. Glossaire</w:t>
      </w:r>
      <w:bookmarkEnd w:id="32"/>
    </w:p>
    <w:p w14:paraId="6861CF3A" w14:textId="77777777" w:rsidR="0027777C" w:rsidRDefault="00000000">
      <w:pPr>
        <w:spacing w:after="90" w:line="272" w:lineRule="auto"/>
      </w:pPr>
      <w:r>
        <w:rPr>
          <w:b/>
          <w:bCs/>
          <w:color w:val="085041"/>
        </w:rPr>
        <w:t xml:space="preserve">Assertion — </w:t>
      </w:r>
      <w:r>
        <w:t>Affirmation implicite contenue dans les comptes (existence, exhaustivité…) que l’auditeur cherche à valider.</w:t>
      </w:r>
    </w:p>
    <w:p w14:paraId="0B57C3AF" w14:textId="77777777" w:rsidR="0027777C" w:rsidRDefault="00000000">
      <w:pPr>
        <w:spacing w:after="90" w:line="272" w:lineRule="auto"/>
      </w:pPr>
      <w:r>
        <w:rPr>
          <w:b/>
          <w:bCs/>
          <w:color w:val="085041"/>
        </w:rPr>
        <w:t xml:space="preserve">Certification — </w:t>
      </w:r>
      <w:r>
        <w:t>Opinion du commissaire aux comptes attestant de la régularité, sincérité et image fidèle des comptes.</w:t>
      </w:r>
    </w:p>
    <w:p w14:paraId="40FABB5C" w14:textId="77777777" w:rsidR="0027777C" w:rsidRDefault="00000000">
      <w:pPr>
        <w:spacing w:after="90" w:line="272" w:lineRule="auto"/>
      </w:pPr>
      <w:r>
        <w:rPr>
          <w:b/>
          <w:bCs/>
          <w:color w:val="085041"/>
        </w:rPr>
        <w:t xml:space="preserve">Circularisation — </w:t>
      </w:r>
      <w:r>
        <w:t>Confirmation directe d’un solde ou d’un engagement auprès d’un tiers (banque, client, fournisseur, avocat).</w:t>
      </w:r>
    </w:p>
    <w:p w14:paraId="6DF28765" w14:textId="77777777" w:rsidR="0027777C" w:rsidRDefault="00000000">
      <w:pPr>
        <w:spacing w:after="90" w:line="272" w:lineRule="auto"/>
      </w:pPr>
      <w:r>
        <w:rPr>
          <w:b/>
          <w:bCs/>
          <w:color w:val="085041"/>
        </w:rPr>
        <w:t xml:space="preserve">Commissaire aux comptes (CAC) — </w:t>
      </w:r>
      <w:r>
        <w:t>Auditeur légal nommé par l’assemblée générale, soumis à des obligations envers les tiers.</w:t>
      </w:r>
    </w:p>
    <w:p w14:paraId="0C4118C4" w14:textId="77777777" w:rsidR="0027777C" w:rsidRDefault="00000000">
      <w:pPr>
        <w:spacing w:after="90" w:line="272" w:lineRule="auto"/>
      </w:pPr>
      <w:r>
        <w:rPr>
          <w:b/>
          <w:bCs/>
          <w:color w:val="085041"/>
        </w:rPr>
        <w:t xml:space="preserve">Continuité d’exploitation — </w:t>
      </w:r>
      <w:r>
        <w:t>Hypothèse selon laquelle l’entité poursuivra son activité dans un avenir prévisible.</w:t>
      </w:r>
    </w:p>
    <w:p w14:paraId="385FE069" w14:textId="77777777" w:rsidR="0027777C" w:rsidRDefault="00000000">
      <w:pPr>
        <w:spacing w:after="90" w:line="272" w:lineRule="auto"/>
      </w:pPr>
      <w:r>
        <w:rPr>
          <w:b/>
          <w:bCs/>
          <w:color w:val="085041"/>
        </w:rPr>
        <w:t xml:space="preserve">Conventions réglementées — </w:t>
      </w:r>
      <w:r>
        <w:t>Engagements entre la société et ses dirigeants/associés, soumis à un rapport spécial.</w:t>
      </w:r>
    </w:p>
    <w:p w14:paraId="5130E161" w14:textId="77777777" w:rsidR="0027777C" w:rsidRDefault="00000000">
      <w:pPr>
        <w:spacing w:after="90" w:line="272" w:lineRule="auto"/>
      </w:pPr>
      <w:r>
        <w:rPr>
          <w:b/>
          <w:bCs/>
          <w:color w:val="085041"/>
        </w:rPr>
        <w:t xml:space="preserve">Cut-off (séparation des exercices) — </w:t>
      </w:r>
      <w:r>
        <w:t>Rattachement d’une opération au bon exercice comptable.</w:t>
      </w:r>
    </w:p>
    <w:p w14:paraId="5B4319C8" w14:textId="77777777" w:rsidR="0027777C" w:rsidRDefault="00000000">
      <w:pPr>
        <w:spacing w:after="90" w:line="272" w:lineRule="auto"/>
      </w:pPr>
      <w:r>
        <w:rPr>
          <w:b/>
          <w:bCs/>
          <w:color w:val="085041"/>
        </w:rPr>
        <w:t xml:space="preserve">Dossier permanent / annuel — </w:t>
      </w:r>
      <w:r>
        <w:t>Compartiments du dossier de travail : informations stables vs travaux de l’exercice.</w:t>
      </w:r>
    </w:p>
    <w:p w14:paraId="3840FBCD" w14:textId="77777777" w:rsidR="0027777C" w:rsidRDefault="00000000">
      <w:pPr>
        <w:spacing w:after="90" w:line="272" w:lineRule="auto"/>
      </w:pPr>
      <w:r>
        <w:rPr>
          <w:b/>
          <w:bCs/>
          <w:color w:val="085041"/>
        </w:rPr>
        <w:t xml:space="preserve">NEP / ISA — </w:t>
      </w:r>
      <w:r>
        <w:t>Normes d’Exercice Professionnel (francophone) / International Standards on Auditing — référentiels d’audit convergents.</w:t>
      </w:r>
    </w:p>
    <w:p w14:paraId="3008C1C3" w14:textId="77777777" w:rsidR="0027777C" w:rsidRDefault="00000000">
      <w:pPr>
        <w:spacing w:after="90" w:line="272" w:lineRule="auto"/>
      </w:pPr>
      <w:r>
        <w:rPr>
          <w:b/>
          <w:bCs/>
          <w:color w:val="085041"/>
        </w:rPr>
        <w:t xml:space="preserve">Procédure d’alerte — </w:t>
      </w:r>
      <w:r>
        <w:t>Démarche du CAC lorsque la continuité d’exploitation est menacée.</w:t>
      </w:r>
    </w:p>
    <w:p w14:paraId="5AFE2AF5" w14:textId="77777777" w:rsidR="0027777C" w:rsidRDefault="00000000">
      <w:pPr>
        <w:spacing w:after="90" w:line="272" w:lineRule="auto"/>
      </w:pPr>
      <w:r>
        <w:rPr>
          <w:b/>
          <w:bCs/>
          <w:color w:val="085041"/>
        </w:rPr>
        <w:t xml:space="preserve">Procédures analytiques — </w:t>
      </w:r>
      <w:r>
        <w:t>Analyse des relations entre données (ratios, variations) pour repérer l’anormal.</w:t>
      </w:r>
    </w:p>
    <w:p w14:paraId="63C2E007" w14:textId="77777777" w:rsidR="0027777C" w:rsidRDefault="00000000">
      <w:pPr>
        <w:spacing w:after="90" w:line="272" w:lineRule="auto"/>
      </w:pPr>
      <w:r>
        <w:rPr>
          <w:b/>
          <w:bCs/>
          <w:color w:val="085041"/>
        </w:rPr>
        <w:t xml:space="preserve">Seuil de signification — </w:t>
      </w:r>
      <w:r>
        <w:t>Montant au-delà duquel une anomalie est jugée significative.</w:t>
      </w:r>
    </w:p>
    <w:p w14:paraId="46196361" w14:textId="77777777" w:rsidR="0027777C" w:rsidRDefault="00000000">
      <w:pPr>
        <w:spacing w:after="90" w:line="272" w:lineRule="auto"/>
      </w:pPr>
      <w:r>
        <w:rPr>
          <w:b/>
          <w:bCs/>
          <w:color w:val="085041"/>
        </w:rPr>
        <w:lastRenderedPageBreak/>
        <w:t xml:space="preserve">Sondage / échantillonnage — </w:t>
      </w:r>
      <w:r>
        <w:t>Test d’un sous-ensemble d’opérations, avec extrapolation au total.</w:t>
      </w:r>
    </w:p>
    <w:p w14:paraId="57065D39" w14:textId="77777777" w:rsidR="0027777C" w:rsidRDefault="00000000">
      <w:pPr>
        <w:spacing w:after="90" w:line="272" w:lineRule="auto"/>
      </w:pPr>
      <w:r>
        <w:rPr>
          <w:b/>
          <w:bCs/>
          <w:color w:val="085041"/>
        </w:rPr>
        <w:t xml:space="preserve">Tests de procédures — </w:t>
      </w:r>
      <w:r>
        <w:t>Contrôles destinés à vérifier l’efficacité réelle du contrôle interne.</w:t>
      </w:r>
    </w:p>
    <w:p w14:paraId="2A333D82" w14:textId="77777777" w:rsidR="0027777C" w:rsidRDefault="00000000">
      <w:r>
        <w:br w:type="page"/>
      </w:r>
    </w:p>
    <w:p w14:paraId="0ACB69FD" w14:textId="77777777" w:rsidR="0027777C" w:rsidRDefault="00000000">
      <w:pPr>
        <w:pStyle w:val="Titre1"/>
      </w:pPr>
      <w:bookmarkStart w:id="33" w:name="_Toc232936384"/>
      <w:r>
        <w:lastRenderedPageBreak/>
        <w:t>Annexe — Le cycle ventes-clients traité de bout en bout</w:t>
      </w:r>
      <w:bookmarkEnd w:id="33"/>
    </w:p>
    <w:p w14:paraId="38ADC682" w14:textId="77777777" w:rsidR="0027777C" w:rsidRDefault="00000000">
      <w:pPr>
        <w:spacing w:after="120" w:line="276" w:lineRule="auto"/>
      </w:pPr>
      <w:r>
        <w:t>Un exemple concret pour servir de gabarit à l’interface : comment un seul cycle se déroule à travers les phases.</w:t>
      </w:r>
    </w:p>
    <w:p w14:paraId="7DA53A85" w14:textId="77777777" w:rsidR="0027777C" w:rsidRDefault="00000000">
      <w:pPr>
        <w:pStyle w:val="Titre2"/>
      </w:pPr>
      <w:bookmarkStart w:id="34" w:name="_Toc232936385"/>
      <w:r>
        <w:t>A.1 Comprendre le cycle (planification)</w:t>
      </w:r>
      <w:bookmarkEnd w:id="34"/>
    </w:p>
    <w:p w14:paraId="46C30397" w14:textId="77777777" w:rsidR="0027777C" w:rsidRDefault="00000000">
      <w:pPr>
        <w:spacing w:after="120" w:line="276" w:lineRule="auto"/>
      </w:pPr>
      <w:r>
        <w:t>Flux : commande → livraison → facturation → enregistrement → encaissement. Risques typiques : ventes fictives (existence), ventes non enregistrées (exhaustivité), erreurs de facturation (exactitude), rattachement au mauvais exercice (cut-off), créances irrécouvrables non dépréciées (évaluation).</w:t>
      </w:r>
    </w:p>
    <w:p w14:paraId="426D9AB0" w14:textId="77777777" w:rsidR="0027777C" w:rsidRDefault="00000000">
      <w:pPr>
        <w:pStyle w:val="Titre2"/>
      </w:pPr>
      <w:bookmarkStart w:id="35" w:name="_Toc232936386"/>
      <w:r>
        <w:t>A.2 Apprécier le contrôle interne</w:t>
      </w:r>
      <w:bookmarkEnd w:id="35"/>
    </w:p>
    <w:p w14:paraId="01D41BD2" w14:textId="77777777" w:rsidR="0027777C" w:rsidRDefault="00000000">
      <w:pPr>
        <w:spacing w:after="120" w:line="276" w:lineRule="auto"/>
      </w:pPr>
      <w:r>
        <w:t>Vérifier la séparation des tâches (qui facture, qui encaisse, qui comptabilise), l’existence de contrôles sur les prix et les avoirs, le suivi des créances. Tester quelques opérations pour confirmer que ces contrôles fonctionnent.</w:t>
      </w:r>
    </w:p>
    <w:p w14:paraId="413BFE83" w14:textId="77777777" w:rsidR="0027777C" w:rsidRDefault="00000000">
      <w:pPr>
        <w:pStyle w:val="Titre2"/>
      </w:pPr>
      <w:bookmarkStart w:id="36" w:name="_Toc232936387"/>
      <w:r>
        <w:t>A.3 Contrôler les comptes</w:t>
      </w:r>
      <w:bookmarkEnd w:id="36"/>
    </w:p>
    <w:p w14:paraId="359FBC69" w14:textId="77777777" w:rsidR="0027777C" w:rsidRDefault="00000000">
      <w:pPr>
        <w:pStyle w:val="Paragraphedeliste"/>
        <w:numPr>
          <w:ilvl w:val="0"/>
          <w:numId w:val="2"/>
        </w:numPr>
        <w:spacing w:after="60" w:line="270" w:lineRule="auto"/>
      </w:pPr>
      <w:r>
        <w:rPr>
          <w:b/>
          <w:bCs/>
        </w:rPr>
        <w:t xml:space="preserve">Circularisation clients </w:t>
      </w:r>
      <w:r>
        <w:t>— confirmer les soldes auprès d’un échantillon de clients (existence, droits).</w:t>
      </w:r>
    </w:p>
    <w:p w14:paraId="4C0BEA4D" w14:textId="77777777" w:rsidR="0027777C" w:rsidRDefault="00000000">
      <w:pPr>
        <w:pStyle w:val="Paragraphedeliste"/>
        <w:numPr>
          <w:ilvl w:val="0"/>
          <w:numId w:val="2"/>
        </w:numPr>
        <w:spacing w:after="60" w:line="270" w:lineRule="auto"/>
      </w:pPr>
      <w:r>
        <w:rPr>
          <w:b/>
          <w:bCs/>
        </w:rPr>
        <w:t xml:space="preserve">Tests de cut-off </w:t>
      </w:r>
      <w:r>
        <w:t>— examiner les dernières factures de l’exercice et les premières du suivant.</w:t>
      </w:r>
    </w:p>
    <w:p w14:paraId="002863DE" w14:textId="77777777" w:rsidR="0027777C" w:rsidRDefault="00000000">
      <w:pPr>
        <w:pStyle w:val="Paragraphedeliste"/>
        <w:numPr>
          <w:ilvl w:val="0"/>
          <w:numId w:val="2"/>
        </w:numPr>
        <w:spacing w:after="60" w:line="270" w:lineRule="auto"/>
      </w:pPr>
      <w:r>
        <w:rPr>
          <w:b/>
          <w:bCs/>
        </w:rPr>
        <w:t xml:space="preserve">Rapprochement balance auxiliaire / grand-livre </w:t>
      </w:r>
      <w:r>
        <w:t>— cohérence des créances.</w:t>
      </w:r>
    </w:p>
    <w:p w14:paraId="288BF199" w14:textId="77777777" w:rsidR="0027777C" w:rsidRDefault="00000000">
      <w:pPr>
        <w:pStyle w:val="Paragraphedeliste"/>
        <w:numPr>
          <w:ilvl w:val="0"/>
          <w:numId w:val="2"/>
        </w:numPr>
        <w:spacing w:after="60" w:line="270" w:lineRule="auto"/>
      </w:pPr>
      <w:r>
        <w:rPr>
          <w:b/>
          <w:bCs/>
        </w:rPr>
        <w:t xml:space="preserve">Revue des créances anciennes </w:t>
      </w:r>
      <w:r>
        <w:t>— suffisance des dépréciations (évaluation).</w:t>
      </w:r>
    </w:p>
    <w:p w14:paraId="1BC04C08" w14:textId="77777777" w:rsidR="0027777C" w:rsidRDefault="00000000">
      <w:pPr>
        <w:pStyle w:val="Titre2"/>
      </w:pPr>
      <w:bookmarkStart w:id="37" w:name="_Toc232936388"/>
      <w:r>
        <w:t>A.4 Conclure</w:t>
      </w:r>
      <w:bookmarkEnd w:id="37"/>
    </w:p>
    <w:p w14:paraId="3B31A1C7" w14:textId="77777777" w:rsidR="0027777C" w:rsidRDefault="00000000">
      <w:pPr>
        <w:spacing w:after="120" w:line="276" w:lineRule="auto"/>
      </w:pPr>
      <w:r>
        <w:t>Synthèse du cycle : assertions couvertes, anomalies relevées et leur montant, conclusion sur le caractère raisonnable du poste clients. Les anomalies remontent au registre central pour la synthèse finale.</w:t>
      </w:r>
    </w:p>
    <w:p w14:paraId="7A182515" w14:textId="77777777" w:rsidR="0027777C" w:rsidRDefault="00000000">
      <w:pPr>
        <w:pBdr>
          <w:left w:val="single" w:sz="18" w:space="12" w:color="1D9E75"/>
        </w:pBdr>
        <w:shd w:val="clear" w:color="auto" w:fill="F2F6F4"/>
        <w:spacing w:before="80" w:after="160" w:line="272" w:lineRule="auto"/>
        <w:ind w:left="240"/>
      </w:pPr>
      <w:r>
        <w:rPr>
          <w:b/>
          <w:bCs/>
          <w:color w:val="085041"/>
        </w:rPr>
        <w:t xml:space="preserve">Pour le logiciel — </w:t>
      </w:r>
      <w:r>
        <w:t>Ce gabarit « comprendre → apprécier le contrôle interne → contrôler → conclure » se répète pour chaque cycle. C’est un patron d’écran réutilisable : un même composant, paramétré par cycle, avec ses risques, ses contrôles et ses feuilles de travail.</w:t>
      </w:r>
    </w:p>
    <w:sectPr w:rsidR="0027777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17AFE" w14:textId="77777777" w:rsidR="0091391F" w:rsidRDefault="0091391F">
      <w:r>
        <w:separator/>
      </w:r>
    </w:p>
  </w:endnote>
  <w:endnote w:type="continuationSeparator" w:id="0">
    <w:p w14:paraId="6498312D" w14:textId="77777777" w:rsidR="0091391F" w:rsidRDefault="00913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E8E8F" w14:textId="77777777" w:rsidR="0027777C"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D62174">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07239" w14:textId="77777777" w:rsidR="0091391F" w:rsidRDefault="0091391F">
      <w:r>
        <w:separator/>
      </w:r>
    </w:p>
  </w:footnote>
  <w:footnote w:type="continuationSeparator" w:id="0">
    <w:p w14:paraId="0F8B52B3" w14:textId="77777777" w:rsidR="0091391F" w:rsidRDefault="009139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F080A" w14:textId="77777777" w:rsidR="0027777C" w:rsidRDefault="00000000">
    <w:pPr>
      <w:pBdr>
        <w:bottom w:val="single" w:sz="4" w:space="2" w:color="DDDDDD"/>
      </w:pBdr>
      <w:spacing w:after="60"/>
      <w:jc w:val="right"/>
    </w:pPr>
    <w:r>
      <w:rPr>
        <w:color w:val="555555"/>
        <w:sz w:val="16"/>
        <w:szCs w:val="16"/>
      </w:rPr>
      <w:t>PROBARE · L’audit comptable de bout en bout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40F4"/>
    <w:multiLevelType w:val="hybridMultilevel"/>
    <w:tmpl w:val="0450EED6"/>
    <w:lvl w:ilvl="0" w:tplc="3BC2DDE0">
      <w:start w:val="1"/>
      <w:numFmt w:val="decimal"/>
      <w:lvlText w:val="%1."/>
      <w:lvlJc w:val="left"/>
      <w:pPr>
        <w:ind w:left="540" w:hanging="300"/>
      </w:pPr>
      <w:rPr>
        <w:b/>
        <w:bCs/>
        <w:color w:val="085041"/>
      </w:rPr>
    </w:lvl>
    <w:lvl w:ilvl="1" w:tplc="8B362E5C">
      <w:numFmt w:val="decimal"/>
      <w:lvlText w:val=""/>
      <w:lvlJc w:val="left"/>
    </w:lvl>
    <w:lvl w:ilvl="2" w:tplc="FAF0771A">
      <w:numFmt w:val="decimal"/>
      <w:lvlText w:val=""/>
      <w:lvlJc w:val="left"/>
    </w:lvl>
    <w:lvl w:ilvl="3" w:tplc="A8F2003C">
      <w:numFmt w:val="decimal"/>
      <w:lvlText w:val=""/>
      <w:lvlJc w:val="left"/>
    </w:lvl>
    <w:lvl w:ilvl="4" w:tplc="7CD8D3B4">
      <w:numFmt w:val="decimal"/>
      <w:lvlText w:val=""/>
      <w:lvlJc w:val="left"/>
    </w:lvl>
    <w:lvl w:ilvl="5" w:tplc="1744D0F4">
      <w:numFmt w:val="decimal"/>
      <w:lvlText w:val=""/>
      <w:lvlJc w:val="left"/>
    </w:lvl>
    <w:lvl w:ilvl="6" w:tplc="E06E6D02">
      <w:numFmt w:val="decimal"/>
      <w:lvlText w:val=""/>
      <w:lvlJc w:val="left"/>
    </w:lvl>
    <w:lvl w:ilvl="7" w:tplc="722C5D42">
      <w:numFmt w:val="decimal"/>
      <w:lvlText w:val=""/>
      <w:lvlJc w:val="left"/>
    </w:lvl>
    <w:lvl w:ilvl="8" w:tplc="35A6AB60">
      <w:numFmt w:val="decimal"/>
      <w:lvlText w:val=""/>
      <w:lvlJc w:val="left"/>
    </w:lvl>
  </w:abstractNum>
  <w:abstractNum w:abstractNumId="1" w15:restartNumberingAfterBreak="0">
    <w:nsid w:val="08014CD9"/>
    <w:multiLevelType w:val="hybridMultilevel"/>
    <w:tmpl w:val="D81E886E"/>
    <w:lvl w:ilvl="0" w:tplc="52201AA6">
      <w:start w:val="1"/>
      <w:numFmt w:val="decimal"/>
      <w:lvlText w:val="%1."/>
      <w:lvlJc w:val="left"/>
      <w:pPr>
        <w:ind w:left="540" w:hanging="300"/>
      </w:pPr>
      <w:rPr>
        <w:b/>
        <w:bCs/>
        <w:color w:val="085041"/>
      </w:rPr>
    </w:lvl>
    <w:lvl w:ilvl="1" w:tplc="B60CA35E">
      <w:numFmt w:val="decimal"/>
      <w:lvlText w:val=""/>
      <w:lvlJc w:val="left"/>
    </w:lvl>
    <w:lvl w:ilvl="2" w:tplc="B55E86AE">
      <w:numFmt w:val="decimal"/>
      <w:lvlText w:val=""/>
      <w:lvlJc w:val="left"/>
    </w:lvl>
    <w:lvl w:ilvl="3" w:tplc="26F87C7C">
      <w:numFmt w:val="decimal"/>
      <w:lvlText w:val=""/>
      <w:lvlJc w:val="left"/>
    </w:lvl>
    <w:lvl w:ilvl="4" w:tplc="262E365C">
      <w:numFmt w:val="decimal"/>
      <w:lvlText w:val=""/>
      <w:lvlJc w:val="left"/>
    </w:lvl>
    <w:lvl w:ilvl="5" w:tplc="F98E6100">
      <w:numFmt w:val="decimal"/>
      <w:lvlText w:val=""/>
      <w:lvlJc w:val="left"/>
    </w:lvl>
    <w:lvl w:ilvl="6" w:tplc="CBD08F00">
      <w:numFmt w:val="decimal"/>
      <w:lvlText w:val=""/>
      <w:lvlJc w:val="left"/>
    </w:lvl>
    <w:lvl w:ilvl="7" w:tplc="98A227CC">
      <w:numFmt w:val="decimal"/>
      <w:lvlText w:val=""/>
      <w:lvlJc w:val="left"/>
    </w:lvl>
    <w:lvl w:ilvl="8" w:tplc="1748AB70">
      <w:numFmt w:val="decimal"/>
      <w:lvlText w:val=""/>
      <w:lvlJc w:val="left"/>
    </w:lvl>
  </w:abstractNum>
  <w:abstractNum w:abstractNumId="2" w15:restartNumberingAfterBreak="0">
    <w:nsid w:val="387A5D30"/>
    <w:multiLevelType w:val="hybridMultilevel"/>
    <w:tmpl w:val="7076E066"/>
    <w:lvl w:ilvl="0" w:tplc="25404BE0">
      <w:start w:val="1"/>
      <w:numFmt w:val="decimal"/>
      <w:lvlText w:val="%1."/>
      <w:lvlJc w:val="left"/>
      <w:pPr>
        <w:ind w:left="540" w:hanging="300"/>
      </w:pPr>
      <w:rPr>
        <w:b/>
        <w:bCs/>
        <w:color w:val="085041"/>
      </w:rPr>
    </w:lvl>
    <w:lvl w:ilvl="1" w:tplc="27623148">
      <w:numFmt w:val="decimal"/>
      <w:lvlText w:val=""/>
      <w:lvlJc w:val="left"/>
    </w:lvl>
    <w:lvl w:ilvl="2" w:tplc="0F70A94C">
      <w:numFmt w:val="decimal"/>
      <w:lvlText w:val=""/>
      <w:lvlJc w:val="left"/>
    </w:lvl>
    <w:lvl w:ilvl="3" w:tplc="51C6B292">
      <w:numFmt w:val="decimal"/>
      <w:lvlText w:val=""/>
      <w:lvlJc w:val="left"/>
    </w:lvl>
    <w:lvl w:ilvl="4" w:tplc="0B482894">
      <w:numFmt w:val="decimal"/>
      <w:lvlText w:val=""/>
      <w:lvlJc w:val="left"/>
    </w:lvl>
    <w:lvl w:ilvl="5" w:tplc="413ADCA6">
      <w:numFmt w:val="decimal"/>
      <w:lvlText w:val=""/>
      <w:lvlJc w:val="left"/>
    </w:lvl>
    <w:lvl w:ilvl="6" w:tplc="640A3198">
      <w:numFmt w:val="decimal"/>
      <w:lvlText w:val=""/>
      <w:lvlJc w:val="left"/>
    </w:lvl>
    <w:lvl w:ilvl="7" w:tplc="F6AEFAAE">
      <w:numFmt w:val="decimal"/>
      <w:lvlText w:val=""/>
      <w:lvlJc w:val="left"/>
    </w:lvl>
    <w:lvl w:ilvl="8" w:tplc="9ABC997E">
      <w:numFmt w:val="decimal"/>
      <w:lvlText w:val=""/>
      <w:lvlJc w:val="left"/>
    </w:lvl>
  </w:abstractNum>
  <w:abstractNum w:abstractNumId="3" w15:restartNumberingAfterBreak="0">
    <w:nsid w:val="4ECA57D5"/>
    <w:multiLevelType w:val="hybridMultilevel"/>
    <w:tmpl w:val="94D64FA4"/>
    <w:lvl w:ilvl="0" w:tplc="B3D219E4">
      <w:start w:val="1"/>
      <w:numFmt w:val="decimal"/>
      <w:lvlText w:val="%1."/>
      <w:lvlJc w:val="left"/>
      <w:pPr>
        <w:ind w:left="540" w:hanging="300"/>
      </w:pPr>
      <w:rPr>
        <w:b/>
        <w:bCs/>
        <w:color w:val="085041"/>
      </w:rPr>
    </w:lvl>
    <w:lvl w:ilvl="1" w:tplc="9E5CCEF8">
      <w:numFmt w:val="decimal"/>
      <w:lvlText w:val=""/>
      <w:lvlJc w:val="left"/>
    </w:lvl>
    <w:lvl w:ilvl="2" w:tplc="93665034">
      <w:numFmt w:val="decimal"/>
      <w:lvlText w:val=""/>
      <w:lvlJc w:val="left"/>
    </w:lvl>
    <w:lvl w:ilvl="3" w:tplc="52700A64">
      <w:numFmt w:val="decimal"/>
      <w:lvlText w:val=""/>
      <w:lvlJc w:val="left"/>
    </w:lvl>
    <w:lvl w:ilvl="4" w:tplc="1F2C541E">
      <w:numFmt w:val="decimal"/>
      <w:lvlText w:val=""/>
      <w:lvlJc w:val="left"/>
    </w:lvl>
    <w:lvl w:ilvl="5" w:tplc="73202038">
      <w:numFmt w:val="decimal"/>
      <w:lvlText w:val=""/>
      <w:lvlJc w:val="left"/>
    </w:lvl>
    <w:lvl w:ilvl="6" w:tplc="4CD2694C">
      <w:numFmt w:val="decimal"/>
      <w:lvlText w:val=""/>
      <w:lvlJc w:val="left"/>
    </w:lvl>
    <w:lvl w:ilvl="7" w:tplc="15223CA6">
      <w:numFmt w:val="decimal"/>
      <w:lvlText w:val=""/>
      <w:lvlJc w:val="left"/>
    </w:lvl>
    <w:lvl w:ilvl="8" w:tplc="0254A9E6">
      <w:numFmt w:val="decimal"/>
      <w:lvlText w:val=""/>
      <w:lvlJc w:val="left"/>
    </w:lvl>
  </w:abstractNum>
  <w:abstractNum w:abstractNumId="4" w15:restartNumberingAfterBreak="0">
    <w:nsid w:val="6DCC6CFF"/>
    <w:multiLevelType w:val="hybridMultilevel"/>
    <w:tmpl w:val="CF9AD6D4"/>
    <w:lvl w:ilvl="0" w:tplc="44EA4DF2">
      <w:start w:val="1"/>
      <w:numFmt w:val="bullet"/>
      <w:lvlText w:val="●"/>
      <w:lvlJc w:val="left"/>
      <w:pPr>
        <w:ind w:left="720" w:hanging="360"/>
      </w:pPr>
    </w:lvl>
    <w:lvl w:ilvl="1" w:tplc="CC52056A">
      <w:start w:val="1"/>
      <w:numFmt w:val="bullet"/>
      <w:lvlText w:val="○"/>
      <w:lvlJc w:val="left"/>
      <w:pPr>
        <w:ind w:left="1440" w:hanging="360"/>
      </w:pPr>
    </w:lvl>
    <w:lvl w:ilvl="2" w:tplc="10DAFB0A">
      <w:start w:val="1"/>
      <w:numFmt w:val="bullet"/>
      <w:lvlText w:val="■"/>
      <w:lvlJc w:val="left"/>
      <w:pPr>
        <w:ind w:left="2160" w:hanging="360"/>
      </w:pPr>
    </w:lvl>
    <w:lvl w:ilvl="3" w:tplc="3D4C128A">
      <w:start w:val="1"/>
      <w:numFmt w:val="bullet"/>
      <w:lvlText w:val="●"/>
      <w:lvlJc w:val="left"/>
      <w:pPr>
        <w:ind w:left="2880" w:hanging="360"/>
      </w:pPr>
    </w:lvl>
    <w:lvl w:ilvl="4" w:tplc="AD843494">
      <w:start w:val="1"/>
      <w:numFmt w:val="bullet"/>
      <w:lvlText w:val="○"/>
      <w:lvlJc w:val="left"/>
      <w:pPr>
        <w:ind w:left="3600" w:hanging="360"/>
      </w:pPr>
    </w:lvl>
    <w:lvl w:ilvl="5" w:tplc="86EA5930">
      <w:start w:val="1"/>
      <w:numFmt w:val="bullet"/>
      <w:lvlText w:val="■"/>
      <w:lvlJc w:val="left"/>
      <w:pPr>
        <w:ind w:left="4320" w:hanging="360"/>
      </w:pPr>
    </w:lvl>
    <w:lvl w:ilvl="6" w:tplc="18EEAE62">
      <w:start w:val="1"/>
      <w:numFmt w:val="bullet"/>
      <w:lvlText w:val="●"/>
      <w:lvlJc w:val="left"/>
      <w:pPr>
        <w:ind w:left="5040" w:hanging="360"/>
      </w:pPr>
    </w:lvl>
    <w:lvl w:ilvl="7" w:tplc="5EEE4B44">
      <w:start w:val="1"/>
      <w:numFmt w:val="bullet"/>
      <w:lvlText w:val="●"/>
      <w:lvlJc w:val="left"/>
      <w:pPr>
        <w:ind w:left="5760" w:hanging="360"/>
      </w:pPr>
    </w:lvl>
    <w:lvl w:ilvl="8" w:tplc="F2B6EAEC">
      <w:start w:val="1"/>
      <w:numFmt w:val="bullet"/>
      <w:lvlText w:val="●"/>
      <w:lvlJc w:val="left"/>
      <w:pPr>
        <w:ind w:left="6480" w:hanging="360"/>
      </w:pPr>
    </w:lvl>
  </w:abstractNum>
  <w:abstractNum w:abstractNumId="5" w15:restartNumberingAfterBreak="0">
    <w:nsid w:val="724C24DC"/>
    <w:multiLevelType w:val="hybridMultilevel"/>
    <w:tmpl w:val="6BE4798A"/>
    <w:lvl w:ilvl="0" w:tplc="057CD5E8">
      <w:start w:val="1"/>
      <w:numFmt w:val="decimal"/>
      <w:lvlText w:val="%1."/>
      <w:lvlJc w:val="left"/>
      <w:pPr>
        <w:ind w:left="540" w:hanging="300"/>
      </w:pPr>
      <w:rPr>
        <w:b/>
        <w:bCs/>
        <w:color w:val="085041"/>
      </w:rPr>
    </w:lvl>
    <w:lvl w:ilvl="1" w:tplc="AA18D874">
      <w:numFmt w:val="decimal"/>
      <w:lvlText w:val=""/>
      <w:lvlJc w:val="left"/>
    </w:lvl>
    <w:lvl w:ilvl="2" w:tplc="6B6A2A4E">
      <w:numFmt w:val="decimal"/>
      <w:lvlText w:val=""/>
      <w:lvlJc w:val="left"/>
    </w:lvl>
    <w:lvl w:ilvl="3" w:tplc="4D6A7522">
      <w:numFmt w:val="decimal"/>
      <w:lvlText w:val=""/>
      <w:lvlJc w:val="left"/>
    </w:lvl>
    <w:lvl w:ilvl="4" w:tplc="3806C54C">
      <w:numFmt w:val="decimal"/>
      <w:lvlText w:val=""/>
      <w:lvlJc w:val="left"/>
    </w:lvl>
    <w:lvl w:ilvl="5" w:tplc="882697FA">
      <w:numFmt w:val="decimal"/>
      <w:lvlText w:val=""/>
      <w:lvlJc w:val="left"/>
    </w:lvl>
    <w:lvl w:ilvl="6" w:tplc="BE96F5FA">
      <w:numFmt w:val="decimal"/>
      <w:lvlText w:val=""/>
      <w:lvlJc w:val="left"/>
    </w:lvl>
    <w:lvl w:ilvl="7" w:tplc="35EAD8EE">
      <w:numFmt w:val="decimal"/>
      <w:lvlText w:val=""/>
      <w:lvlJc w:val="left"/>
    </w:lvl>
    <w:lvl w:ilvl="8" w:tplc="CD26D93C">
      <w:numFmt w:val="decimal"/>
      <w:lvlText w:val=""/>
      <w:lvlJc w:val="left"/>
    </w:lvl>
  </w:abstractNum>
  <w:abstractNum w:abstractNumId="6" w15:restartNumberingAfterBreak="0">
    <w:nsid w:val="7B4F5635"/>
    <w:multiLevelType w:val="hybridMultilevel"/>
    <w:tmpl w:val="EA3A448E"/>
    <w:lvl w:ilvl="0" w:tplc="61985C4C">
      <w:start w:val="1"/>
      <w:numFmt w:val="decimal"/>
      <w:lvlText w:val="%1."/>
      <w:lvlJc w:val="left"/>
      <w:pPr>
        <w:ind w:left="540" w:hanging="300"/>
      </w:pPr>
      <w:rPr>
        <w:b/>
        <w:bCs/>
        <w:color w:val="085041"/>
      </w:rPr>
    </w:lvl>
    <w:lvl w:ilvl="1" w:tplc="55E494D2">
      <w:numFmt w:val="decimal"/>
      <w:lvlText w:val=""/>
      <w:lvlJc w:val="left"/>
    </w:lvl>
    <w:lvl w:ilvl="2" w:tplc="A10CD5FC">
      <w:numFmt w:val="decimal"/>
      <w:lvlText w:val=""/>
      <w:lvlJc w:val="left"/>
    </w:lvl>
    <w:lvl w:ilvl="3" w:tplc="CF6E6872">
      <w:numFmt w:val="decimal"/>
      <w:lvlText w:val=""/>
      <w:lvlJc w:val="left"/>
    </w:lvl>
    <w:lvl w:ilvl="4" w:tplc="4B7C59F8">
      <w:numFmt w:val="decimal"/>
      <w:lvlText w:val=""/>
      <w:lvlJc w:val="left"/>
    </w:lvl>
    <w:lvl w:ilvl="5" w:tplc="0E52C4F8">
      <w:numFmt w:val="decimal"/>
      <w:lvlText w:val=""/>
      <w:lvlJc w:val="left"/>
    </w:lvl>
    <w:lvl w:ilvl="6" w:tplc="0920643C">
      <w:numFmt w:val="decimal"/>
      <w:lvlText w:val=""/>
      <w:lvlJc w:val="left"/>
    </w:lvl>
    <w:lvl w:ilvl="7" w:tplc="C944BCF8">
      <w:numFmt w:val="decimal"/>
      <w:lvlText w:val=""/>
      <w:lvlJc w:val="left"/>
    </w:lvl>
    <w:lvl w:ilvl="8" w:tplc="F99C6C20">
      <w:numFmt w:val="decimal"/>
      <w:lvlText w:val=""/>
      <w:lvlJc w:val="left"/>
    </w:lvl>
  </w:abstractNum>
  <w:abstractNum w:abstractNumId="7" w15:restartNumberingAfterBreak="0">
    <w:nsid w:val="7CFD3838"/>
    <w:multiLevelType w:val="hybridMultilevel"/>
    <w:tmpl w:val="D80A7540"/>
    <w:lvl w:ilvl="0" w:tplc="87CAE166">
      <w:start w:val="1"/>
      <w:numFmt w:val="bullet"/>
      <w:lvlText w:val="•"/>
      <w:lvlJc w:val="left"/>
      <w:pPr>
        <w:ind w:left="540" w:hanging="280"/>
      </w:pPr>
      <w:rPr>
        <w:color w:val="1D9E75"/>
      </w:rPr>
    </w:lvl>
    <w:lvl w:ilvl="1" w:tplc="B31021EA">
      <w:start w:val="1"/>
      <w:numFmt w:val="bullet"/>
      <w:lvlText w:val="–"/>
      <w:lvlJc w:val="left"/>
      <w:pPr>
        <w:ind w:left="1000" w:hanging="280"/>
      </w:pPr>
    </w:lvl>
    <w:lvl w:ilvl="2" w:tplc="5F88649E">
      <w:numFmt w:val="decimal"/>
      <w:lvlText w:val=""/>
      <w:lvlJc w:val="left"/>
    </w:lvl>
    <w:lvl w:ilvl="3" w:tplc="8A2093EC">
      <w:numFmt w:val="decimal"/>
      <w:lvlText w:val=""/>
      <w:lvlJc w:val="left"/>
    </w:lvl>
    <w:lvl w:ilvl="4" w:tplc="4E42BA4A">
      <w:numFmt w:val="decimal"/>
      <w:lvlText w:val=""/>
      <w:lvlJc w:val="left"/>
    </w:lvl>
    <w:lvl w:ilvl="5" w:tplc="5CD4917E">
      <w:numFmt w:val="decimal"/>
      <w:lvlText w:val=""/>
      <w:lvlJc w:val="left"/>
    </w:lvl>
    <w:lvl w:ilvl="6" w:tplc="0DE8FA0E">
      <w:numFmt w:val="decimal"/>
      <w:lvlText w:val=""/>
      <w:lvlJc w:val="left"/>
    </w:lvl>
    <w:lvl w:ilvl="7" w:tplc="AACABD1E">
      <w:numFmt w:val="decimal"/>
      <w:lvlText w:val=""/>
      <w:lvlJc w:val="left"/>
    </w:lvl>
    <w:lvl w:ilvl="8" w:tplc="A3F0D3D4">
      <w:numFmt w:val="decimal"/>
      <w:lvlText w:val=""/>
      <w:lvlJc w:val="left"/>
    </w:lvl>
  </w:abstractNum>
  <w:num w:numId="1" w16cid:durableId="1141968825">
    <w:abstractNumId w:val="4"/>
    <w:lvlOverride w:ilvl="0">
      <w:startOverride w:val="1"/>
    </w:lvlOverride>
  </w:num>
  <w:num w:numId="2" w16cid:durableId="544024221">
    <w:abstractNumId w:val="7"/>
    <w:lvlOverride w:ilvl="0">
      <w:startOverride w:val="1"/>
    </w:lvlOverride>
  </w:num>
  <w:num w:numId="3" w16cid:durableId="1347829800">
    <w:abstractNumId w:val="1"/>
    <w:lvlOverride w:ilvl="0">
      <w:startOverride w:val="1"/>
    </w:lvlOverride>
  </w:num>
  <w:num w:numId="4" w16cid:durableId="1029573886">
    <w:abstractNumId w:val="0"/>
    <w:lvlOverride w:ilvl="0">
      <w:startOverride w:val="1"/>
    </w:lvlOverride>
  </w:num>
  <w:num w:numId="5" w16cid:durableId="2054502168">
    <w:abstractNumId w:val="2"/>
    <w:lvlOverride w:ilvl="0">
      <w:startOverride w:val="1"/>
    </w:lvlOverride>
  </w:num>
  <w:num w:numId="6" w16cid:durableId="715350659">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77C"/>
    <w:rsid w:val="0027777C"/>
    <w:rsid w:val="00563522"/>
    <w:rsid w:val="0091391F"/>
    <w:rsid w:val="00D30357"/>
    <w:rsid w:val="00D621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39C86"/>
  <w15:docId w15:val="{5AA1C8A8-F79E-4DFE-9FD4-BA4E16C02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4" w:color="1D9E75"/>
      </w:pBdr>
      <w:spacing w:before="320" w:after="160"/>
      <w:outlineLvl w:val="0"/>
    </w:pPr>
    <w:rPr>
      <w:b/>
      <w:bCs/>
      <w:color w:val="085041"/>
      <w:sz w:val="30"/>
      <w:szCs w:val="30"/>
    </w:rPr>
  </w:style>
  <w:style w:type="paragraph" w:styleId="Titre2">
    <w:name w:val="heading 2"/>
    <w:uiPriority w:val="9"/>
    <w:unhideWhenUsed/>
    <w:qFormat/>
    <w:pPr>
      <w:spacing w:before="220" w:after="120"/>
      <w:outlineLvl w:val="1"/>
    </w:pPr>
    <w:rPr>
      <w:b/>
      <w:bCs/>
      <w:color w:val="1A6B4E"/>
      <w:sz w:val="25"/>
      <w:szCs w:val="25"/>
    </w:rPr>
  </w:style>
  <w:style w:type="paragraph" w:styleId="Titre3">
    <w:name w:val="heading 3"/>
    <w:uiPriority w:val="9"/>
    <w:semiHidden/>
    <w:unhideWhenUsed/>
    <w:qFormat/>
    <w:pPr>
      <w:spacing w:before="160" w:after="80"/>
      <w:outlineLvl w:val="2"/>
    </w:pPr>
    <w:rPr>
      <w:b/>
      <w:bCs/>
      <w:color w:val="333333"/>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Hyperlien">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D62174"/>
    <w:pPr>
      <w:spacing w:after="100"/>
    </w:pPr>
  </w:style>
  <w:style w:type="paragraph" w:styleId="TM2">
    <w:name w:val="toc 2"/>
    <w:basedOn w:val="Normal"/>
    <w:next w:val="Normal"/>
    <w:autoRedefine/>
    <w:uiPriority w:val="39"/>
    <w:unhideWhenUsed/>
    <w:rsid w:val="00D6217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4298</Words>
  <Characters>23642</Characters>
  <Application>Microsoft Office Word</Application>
  <DocSecurity>0</DocSecurity>
  <Lines>197</Lines>
  <Paragraphs>55</Paragraphs>
  <ScaleCrop>false</ScaleCrop>
  <Company/>
  <LinksUpToDate>false</LinksUpToDate>
  <CharactersWithSpaces>27885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L’audit comptable de bout en bout — Document de référence</dc:title>
  <dc:creator>Probare</dc:creator>
  <cp:lastModifiedBy>GOULED</cp:lastModifiedBy>
  <cp:revision>2</cp:revision>
  <cp:lastPrinted>2026-06-21T11:32:00Z</cp:lastPrinted>
  <dcterms:created xsi:type="dcterms:W3CDTF">2026-06-21T12:01:00Z</dcterms:created>
  <dcterms:modified xsi:type="dcterms:W3CDTF">2026-06-21T12:01:00Z</dcterms:modified>
</cp:coreProperties>
</file>