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300"/>
      </w:pPr>
      <w:r>
        <w:rPr>
          <w:b/>
          <w:bCs/>
          <w:color w:val="085041"/>
          <w:sz w:val="40"/>
          <w:szCs w:val="40"/>
        </w:rPr>
        <w:t xml:space="preserve">DOSSIER D'AUDIT</w:t>
      </w:r>
    </w:p>
    <w:p>
      <w:pPr>
        <w:pBdr>
          <w:bottom w:val="single" w:color="E8A020" w:sz="12" w:space="4"/>
        </w:pBdr>
        <w:spacing w:after="40"/>
      </w:pPr>
      <w:r>
        <w:rPr>
          <w:color w:val="1D9E75"/>
          <w:sz w:val="24"/>
          <w:szCs w:val="24"/>
        </w:rPr>
        <w:t xml:space="preserve">Cas pédagogique complet — à dérouler avec Probare</w:t>
      </w:r>
    </w:p>
    <w:p>
      <w:pPr>
        <w:spacing w:after="60" w:before="260"/>
      </w:pPr>
      <w:r>
        <w:rPr>
          <w:b/>
          <w:bCs/>
          <w:color w:val="222222"/>
          <w:sz w:val="34"/>
          <w:szCs w:val="34"/>
        </w:rPr>
        <w:t xml:space="preserve">MARSA DISTRIBUTION SARL</w:t>
      </w:r>
    </w:p>
    <w:p>
      <w:pPr>
        <w:spacing w:after="40"/>
      </w:pPr>
      <w:r>
        <w:rPr>
          <w:color w:val="555555"/>
          <w:sz w:val="23"/>
          <w:szCs w:val="23"/>
        </w:rPr>
        <w:t xml:space="preserve">Audit contractuel des comptes de l'exercice clos le 31 décembre 2025</w:t>
      </w:r>
    </w:p>
    <w:p>
      <w:pPr>
        <w:spacing w:after="40"/>
      </w:pPr>
      <w:r>
        <w:rPr>
          <w:i/>
          <w:iCs/>
          <w:color w:val="555555"/>
          <w:sz w:val="20"/>
          <w:szCs w:val="20"/>
        </w:rPr>
        <w:t xml:space="preserve">Entreprise fictive — Djibouti — montants en Franc Djibouti (FDJ)</w:t>
      </w:r>
    </w:p>
    <w:p>
      <w:pPr>
        <w:spacing w:before="700"/>
      </w:pPr>
      <w:r>
        <w:rPr>
          <w:i/>
          <w:iCs/>
          <w:color w:val="555555"/>
          <w:sz w:val="20"/>
          <w:szCs w:val="20"/>
        </w:rPr>
        <w:t xml:space="preserve">Accompagné du fichier de données comptables (.xlsx) à importer dans Probare</w:t>
      </w:r>
    </w:p>
    <w:p>
      <w:r>
        <w:br w:type="page"/>
      </w:r>
    </w:p>
    <w:p>
      <w:pPr>
        <w:spacing w:after="160"/>
      </w:pPr>
      <w:r>
        <w:rPr>
          <w:b/>
          <w:bCs/>
          <w:color w:val="085041"/>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Mode d'emploi</w:t>
      </w:r>
    </w:p>
    <w:p>
      <w:pPr>
        <w:spacing w:after="120" w:line="276"/>
      </w:pPr>
      <w:r>
        <w:t xml:space="preserve">Ce dossier est un cas d'audit complet et fictif. Il a deux usages complémentaires :</w:t>
      </w:r>
    </w:p>
    <w:p>
      <w:pPr>
        <w:pStyle w:val="ListParagraph"/>
        <w:numPr>
          <w:ilvl w:val="0"/>
          <w:numId w:val="2"/>
        </w:numPr>
        <w:spacing w:after="60" w:line="270"/>
      </w:pPr>
      <w:r>
        <w:rPr>
          <w:b/>
          <w:bCs/>
        </w:rPr>
        <w:t xml:space="preserve">Le dérouler avec Probare. </w:t>
      </w:r>
      <w:r>
        <w:t xml:space="preserve">Importez le fichier de données comptables, puis avancez phase par phase comme dans une vraie mission. Vous retrouverez par vous-même les anomalies cachées dans les chiffres.</w:t>
      </w:r>
    </w:p>
    <w:p>
      <w:pPr>
        <w:pStyle w:val="ListParagraph"/>
        <w:numPr>
          <w:ilvl w:val="0"/>
          <w:numId w:val="2"/>
        </w:numPr>
        <w:spacing w:after="60" w:line="270"/>
      </w:pPr>
      <w:r>
        <w:rPr>
          <w:b/>
          <w:bCs/>
        </w:rPr>
        <w:t xml:space="preserve">Servir de référence. </w:t>
      </w:r>
      <w:r>
        <w:t xml:space="preserve">Chaque pièce du dossier est rédigée en entier. Vous voyez ainsi à quoi ressemble un dossier de travail abouti, et vous pouvez vérifier que Probare reproduit ces livrables.</w:t>
      </w:r>
    </w:p>
    <w:p>
      <w:pPr>
        <w:spacing w:after="120" w:line="276"/>
      </w:pPr>
      <w:r>
        <w:t xml:space="preserve">Le cas est volontairement calibré sur les trois cycles du MVP de Probare : ventes-clients, achats-fournisseurs et trésorerie.</w:t>
      </w:r>
    </w:p>
    <w:p>
      <w:pPr>
        <w:pStyle w:val="Heading2"/>
      </w:pPr>
      <w:r>
        <w:t xml:space="preserve">Correspondance avec les phases de Probare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Phase / module</w:t>
            </w:r>
          </w:p>
        </w:tc>
        <w:tc>
          <w:tcPr>
            <w:tcW w:type="dxa" w:w="336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Pièces du dossier</w:t>
            </w:r>
          </w:p>
        </w:tc>
        <w:tc>
          <w:tcPr>
            <w:tcW w:type="dxa" w:w="30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Données utilisées</w:t>
            </w:r>
          </w:p>
        </w:tc>
      </w:tr>
      <w:tr>
        <w:tc>
          <w:tcPr>
            <w:tcW w:type="dxa" w:w="30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Acceptation</w:t>
            </w:r>
          </w:p>
        </w:tc>
        <w:tc>
          <w:tcPr>
            <w:tcW w:type="dxa" w:w="33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DA-0.1, DA-0.2</w:t>
            </w:r>
          </w:p>
        </w:tc>
        <w:tc>
          <w:tcPr>
            <w:tcW w:type="dxa" w:w="30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Planification &amp; risques</w:t>
            </w:r>
          </w:p>
        </w:tc>
        <w:tc>
          <w:tcPr>
            <w:tcW w:type="dxa" w:w="3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DA-1.1 à DA-1.6</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Balance, bilan, CR, comparatif N-1</w:t>
            </w:r>
          </w:p>
        </w:tc>
      </w:tr>
      <w:tr>
        <w:tc>
          <w:tcPr>
            <w:tcW w:type="dxa" w:w="30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Contrôle interne</w:t>
            </w:r>
          </w:p>
        </w:tc>
        <w:tc>
          <w:tcPr>
            <w:tcW w:type="dxa" w:w="33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DA-2.1</w:t>
            </w:r>
          </w:p>
        </w:tc>
        <w:tc>
          <w:tcPr>
            <w:tcW w:type="dxa" w:w="30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Dossier permanent (cycles)</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Contrôle des comptes</w:t>
            </w:r>
          </w:p>
        </w:tc>
        <w:tc>
          <w:tcPr>
            <w:tcW w:type="dxa" w:w="3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DA-3.A / B / C / D</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Auxiliaires, grand-livre, factures janvier, rapprochement</w:t>
            </w:r>
          </w:p>
        </w:tc>
      </w:tr>
      <w:tr>
        <w:tc>
          <w:tcPr>
            <w:tcW w:type="dxa" w:w="30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Fin de mission</w:t>
            </w:r>
          </w:p>
        </w:tc>
        <w:tc>
          <w:tcPr>
            <w:tcW w:type="dxa" w:w="33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DA-4.1 à DA-4.4</w:t>
            </w:r>
          </w:p>
        </w:tc>
        <w:tc>
          <w:tcPr>
            <w:tcW w:type="dxa" w:w="30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Synthèse des anomalies</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Opinion &amp; rapport</w:t>
            </w:r>
          </w:p>
        </w:tc>
        <w:tc>
          <w:tcPr>
            <w:tcW w:type="dxa" w:w="3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DA-5.1, DA-5.2</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Cumul des anomalies vs seuil</w:t>
            </w:r>
          </w:p>
        </w:tc>
      </w:tr>
    </w:tbl>
    <w:p>
      <w:pPr>
        <w:pBdr>
          <w:left w:val="single" w:color="1D9E75" w:sz="18" w:space="12"/>
        </w:pBdr>
        <w:shd w:fill="F2F6F4" w:val="clear"/>
        <w:spacing w:after="160" w:before="80" w:line="272"/>
        <w:ind w:left="240"/>
      </w:pPr>
      <w:r>
        <w:rPr>
          <w:b/>
          <w:bCs/>
          <w:color w:val="085041"/>
        </w:rPr>
        <w:t xml:space="preserve">Probare — </w:t>
      </w:r>
      <w:r>
        <w:t xml:space="preserve">Cette correspondance est aussi une grille de test : pour chaque phase, comparez le livrable produit par Probare à la pièce de référence du dossier. Les écarts vous indiquent ce qu'il reste à construire.</w:t>
      </w:r>
    </w:p>
    <w:p>
      <w:pPr>
        <w:spacing w:after="120" w:line="276"/>
      </w:pPr>
      <w:r>
        <w:rPr>
          <w:b/>
          <w:bCs/>
        </w:rPr>
        <w:t xml:space="preserve">Avertissement : </w:t>
      </w:r>
      <w:r>
        <w:t xml:space="preserve">MARSA Distribution, ses dirigeants, clients, fournisseurs et chiffres sont entièrement inventés. Toute ressemblance avec une entité réelle serait fortuite.</w:t>
      </w:r>
    </w:p>
    <w:p>
      <w:r>
        <w:br w:type="page"/>
      </w:r>
    </w:p>
    <w:p>
      <w:pPr>
        <w:pStyle w:val="Heading1"/>
      </w:pPr>
      <w:r>
        <w:t xml:space="preserve">Énoncé du cas</w:t>
      </w:r>
    </w:p>
    <w:p>
      <w:pPr>
        <w:spacing w:after="120" w:line="276"/>
      </w:pPr>
      <w:r>
        <w:rPr>
          <w:b/>
          <w:bCs/>
          <w:color w:val="085041"/>
        </w:rPr>
        <w:t xml:space="preserve">L'entreprise. </w:t>
      </w:r>
      <w:r>
        <w:t xml:space="preserve">MARSA Distribution SARL est un grossiste en produits alimentaires et d'hygiène, installé à Djibouti. Elle achète en gros auprès d'importateurs et revend à des détaillants, hôtels et restaurants de la place.</w:t>
      </w:r>
    </w:p>
    <w:p>
      <w:pPr>
        <w:spacing w:after="120" w:line="276"/>
      </w:pPr>
      <w:r>
        <w:rPr>
          <w:b/>
          <w:bCs/>
          <w:color w:val="085041"/>
        </w:rPr>
        <w:t xml:space="preserve">Le besoin. </w:t>
      </w:r>
      <w:r>
        <w:t xml:space="preserve">La société sollicite un financement auprès de sa banque pour agrandir son entrepôt. La banque exige un audit contractuel des comptes 2025 avant de se prononcer. La mission est donc contractuelle : pas de certification légale, périmètre défini par la lettre de mission.</w:t>
      </w:r>
    </w:p>
    <w:p>
      <w:pPr>
        <w:spacing w:after="120" w:line="276"/>
      </w:pPr>
      <w:r>
        <w:rPr>
          <w:b/>
          <w:bCs/>
          <w:color w:val="085041"/>
        </w:rPr>
        <w:t xml:space="preserve">Les données. </w:t>
      </w:r>
      <w:r>
        <w:t xml:space="preserve">La comptabilité 2025 vous est remise dans le fichier « MARSA_Distribution_Donnees_Comptables_2025.xlsx » : balance générale, bilan, compte de résultat (avec comparatif 2024), balances auxiliaires clients et fournisseurs, rapprochement bancaire, extraits de grand-livre et factures reçues en janvier 2026.</w:t>
      </w:r>
    </w:p>
    <w:p>
      <w:pPr>
        <w:spacing w:after="120" w:line="276"/>
      </w:pPr>
      <w:r>
        <w:rPr>
          <w:b/>
          <w:bCs/>
          <w:color w:val="085041"/>
        </w:rPr>
        <w:t xml:space="preserve">La mission. </w:t>
      </w:r>
      <w:r>
        <w:t xml:space="preserve">Apprécier si les comptes annuels donnent une image fidèle du patrimoine, de la situation financière et du résultat de l'exercice, puis émettre un rapport d'audit.</w:t>
      </w:r>
    </w:p>
    <w:p>
      <w:r>
        <w:br w:type="page"/>
      </w:r>
    </w:p>
    <w:p>
      <w:pPr>
        <w:pStyle w:val="Heading1"/>
      </w:pPr>
      <w:r>
        <w:t xml:space="preserve">Dossier permanent</w:t>
      </w:r>
    </w:p>
    <w:p>
      <w:pPr>
        <w:spacing w:after="120" w:line="276"/>
      </w:pPr>
      <w:r>
        <w:t xml:space="preserve">Informations stables, réutilisables d'un exercice à l'autre. Elles sont rattachées à l'entité, pas à la mission annuelle.</w:t>
      </w:r>
    </w:p>
    <w:p>
      <w:pPr>
        <w:pBdr>
          <w:bottom w:val="single" w:color="DDDDDD" w:sz="4" w:space="3"/>
        </w:pBdr>
        <w:spacing w:after="100" w:before="240"/>
      </w:pPr>
      <w:r>
        <w:rPr>
          <w:b/>
          <w:bCs/>
          <w:color w:val="FFFFFF"/>
          <w:sz w:val="19"/>
          <w:szCs w:val="19"/>
          <w:shd w:fill="085041" w:val="clear"/>
        </w:rPr>
        <w:t xml:space="preserve"> DP-1 </w:t>
      </w:r>
      <w:r>
        <w:rPr>
          <w:b/>
          <w:bCs/>
          <w:color w:val="085041"/>
          <w:sz w:val="24"/>
          <w:szCs w:val="24"/>
        </w:rPr>
        <w:t xml:space="preserve">  Fiche d'identité de l'entité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Rubrique</w:t>
            </w:r>
          </w:p>
        </w:tc>
        <w:tc>
          <w:tcPr>
            <w:tcW w:type="dxa" w:w="676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Information</w:t>
            </w:r>
          </w:p>
        </w:tc>
      </w:tr>
      <w:tr>
        <w:tc>
          <w:tcPr>
            <w:tcW w:type="dxa" w:w="26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Dénomination</w:t>
            </w:r>
          </w:p>
        </w:tc>
        <w:tc>
          <w:tcPr>
            <w:tcW w:type="dxa" w:w="67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MARSA Distribution SARL</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Forme juridique</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Société à responsabilité limitée</w:t>
            </w:r>
          </w:p>
        </w:tc>
      </w:tr>
      <w:tr>
        <w:tc>
          <w:tcPr>
            <w:tcW w:type="dxa" w:w="26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Activité</w:t>
            </w:r>
          </w:p>
        </w:tc>
        <w:tc>
          <w:tcPr>
            <w:tcW w:type="dxa" w:w="67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Commerce de gros de produits alimentaires et d'hygiène</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Siège</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Zone industrielle, Djibouti</w:t>
            </w:r>
          </w:p>
        </w:tc>
      </w:tr>
      <w:tr>
        <w:tc>
          <w:tcPr>
            <w:tcW w:type="dxa" w:w="26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Capital social</w:t>
            </w:r>
          </w:p>
        </w:tc>
        <w:tc>
          <w:tcPr>
            <w:tcW w:type="dxa" w:w="67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30 000 000 FDJ</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Effectif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24 salariés</w:t>
            </w:r>
          </w:p>
        </w:tc>
      </w:tr>
      <w:tr>
        <w:tc>
          <w:tcPr>
            <w:tcW w:type="dxa" w:w="26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Exercice social</w:t>
            </w:r>
          </w:p>
        </w:tc>
        <w:tc>
          <w:tcPr>
            <w:tcW w:type="dxa" w:w="67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1er janvier – 31 décembre</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Banque principale</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Compte courant n°…/512</w:t>
            </w:r>
          </w:p>
        </w:tc>
      </w:tr>
    </w:tbl>
    <w:p>
      <w:pPr>
        <w:pBdr>
          <w:bottom w:val="single" w:color="DDDDDD" w:sz="4" w:space="3"/>
        </w:pBdr>
        <w:spacing w:after="100" w:before="240"/>
      </w:pPr>
      <w:r>
        <w:rPr>
          <w:b/>
          <w:bCs/>
          <w:color w:val="FFFFFF"/>
          <w:sz w:val="19"/>
          <w:szCs w:val="19"/>
          <w:shd w:fill="085041" w:val="clear"/>
        </w:rPr>
        <w:t xml:space="preserve"> DP-2 </w:t>
      </w:r>
      <w:r>
        <w:rPr>
          <w:b/>
          <w:bCs/>
          <w:color w:val="085041"/>
          <w:sz w:val="24"/>
          <w:szCs w:val="24"/>
        </w:rPr>
        <w:t xml:space="preserve">  Statuts et gouvernance (résumé)</w:t>
      </w:r>
    </w:p>
    <w:p>
      <w:pPr>
        <w:spacing w:after="120" w:line="276"/>
      </w:pPr>
      <w:r>
        <w:t xml:space="preserve">SARL constituée entre trois associés. La gérance est assurée par M. Houssein A., associé majoritaire (60 % des parts). Les décisions ordinaires sont prises en assemblée annuelle ; aucune clause particulière ne restreint les pouvoirs du gérant au-delà du droit commun. Pas de pacte d'associés communiqué.</w:t>
      </w:r>
    </w:p>
    <w:p>
      <w:pPr>
        <w:pBdr>
          <w:bottom w:val="single" w:color="DDDDDD" w:sz="4" w:space="3"/>
        </w:pBdr>
        <w:spacing w:after="100" w:before="240"/>
      </w:pPr>
      <w:r>
        <w:rPr>
          <w:b/>
          <w:bCs/>
          <w:color w:val="FFFFFF"/>
          <w:sz w:val="19"/>
          <w:szCs w:val="19"/>
          <w:shd w:fill="085041" w:val="clear"/>
        </w:rPr>
        <w:t xml:space="preserve"> DP-3 </w:t>
      </w:r>
      <w:r>
        <w:rPr>
          <w:b/>
          <w:bCs/>
          <w:color w:val="085041"/>
          <w:sz w:val="24"/>
          <w:szCs w:val="24"/>
        </w:rPr>
        <w:t xml:space="preserve">  Organisation comptable et systèmes</w:t>
      </w:r>
    </w:p>
    <w:p>
      <w:pPr>
        <w:spacing w:after="120" w:line="276"/>
      </w:pPr>
      <w:r>
        <w:t xml:space="preserve">Comptabilité tenue en interne par une responsable administrative et financière, sur un logiciel de gestion commerciale couplé à la comptabilité. Une assistante saisit les factures de vente et d'achat. Les rapprochements bancaires sont effectués mensuellement. L'inventaire physique des stocks est réalisé une fois par an, au 31/12.</w:t>
      </w:r>
    </w:p>
    <w:p>
      <w:pPr>
        <w:pBdr>
          <w:bottom w:val="single" w:color="DDDDDD" w:sz="4" w:space="3"/>
        </w:pBdr>
        <w:spacing w:after="100" w:before="240"/>
      </w:pPr>
      <w:r>
        <w:rPr>
          <w:b/>
          <w:bCs/>
          <w:color w:val="FFFFFF"/>
          <w:sz w:val="19"/>
          <w:szCs w:val="19"/>
          <w:shd w:fill="085041" w:val="clear"/>
        </w:rPr>
        <w:t xml:space="preserve"> DP-4 </w:t>
      </w:r>
      <w:r>
        <w:rPr>
          <w:b/>
          <w:bCs/>
          <w:color w:val="085041"/>
          <w:sz w:val="24"/>
          <w:szCs w:val="24"/>
        </w:rPr>
        <w:t xml:space="preserve">  Description des cycles</w:t>
      </w:r>
    </w:p>
    <w:p>
      <w:pPr>
        <w:pStyle w:val="Heading3"/>
      </w:pPr>
      <w:r>
        <w:t xml:space="preserve">Cycle ventes-clients</w:t>
      </w:r>
    </w:p>
    <w:p>
      <w:pPr>
        <w:spacing w:after="120" w:line="276"/>
      </w:pPr>
      <w:r>
        <w:t xml:space="preserve">Commande client (souvent verbale ou par téléphone) → préparation et bon de livraison → facturation le jour de la livraison → enregistrement comptable → encaissement (espèces, chèque ou virement) sous 30 à 60 jours pour les clients en compte. La même assistante établit les bons de livraison et les factures.</w:t>
      </w:r>
    </w:p>
    <w:p>
      <w:pPr>
        <w:pStyle w:val="Heading3"/>
      </w:pPr>
      <w:r>
        <w:t xml:space="preserve">Cycle achats-fournisseurs</w:t>
      </w:r>
    </w:p>
    <w:p>
      <w:pPr>
        <w:spacing w:after="120" w:line="276"/>
      </w:pPr>
      <w:r>
        <w:t xml:space="preserve">Commande auprès des importateurs → réception et bon de réception → réception de la facture fournisseur → enregistrement → règlement par chèque ou virement. Les factures arrivent parfois avec retard, après la livraison.</w:t>
      </w:r>
    </w:p>
    <w:p>
      <w:pPr>
        <w:pStyle w:val="Heading3"/>
      </w:pPr>
      <w:r>
        <w:t xml:space="preserve">Cycle trésorerie</w:t>
      </w:r>
    </w:p>
    <w:p>
      <w:pPr>
        <w:spacing w:after="120" w:line="276"/>
      </w:pPr>
      <w:r>
        <w:t xml:space="preserve">Encaissements clients et décaissements fournisseurs via la banque principale et une caisse pour les petites opérations. Rapprochement bancaire mensuel. Les agios et frais bancaires sont saisis à réception des relevés.</w:t>
      </w:r>
    </w:p>
    <w:p>
      <w:pPr>
        <w:pBdr>
          <w:left w:val="single" w:color="1D9E75" w:sz="18" w:space="12"/>
        </w:pBdr>
        <w:shd w:fill="F2F6F4" w:val="clear"/>
        <w:spacing w:after="160" w:before="80" w:line="272"/>
        <w:ind w:left="240"/>
      </w:pPr>
      <w:r>
        <w:rPr>
          <w:b/>
          <w:bCs/>
          <w:color w:val="085041"/>
        </w:rPr>
        <w:t xml:space="preserve">Probare — </w:t>
      </w:r>
      <w:r>
        <w:t xml:space="preserve">Ces descriptions alimentent le module contrôle interne (CIN) : c'est ici que se repèrent les faiblesses, par exemple l'absence de séparation des tâches dans le cycle ventes (même personne pour les BL et les factures).</w:t>
      </w:r>
    </w:p>
    <w:p>
      <w:pPr>
        <w:pBdr>
          <w:bottom w:val="single" w:color="DDDDDD" w:sz="4" w:space="3"/>
        </w:pBdr>
        <w:spacing w:after="100" w:before="240"/>
      </w:pPr>
      <w:r>
        <w:rPr>
          <w:b/>
          <w:bCs/>
          <w:color w:val="FFFFFF"/>
          <w:sz w:val="19"/>
          <w:szCs w:val="19"/>
          <w:shd w:fill="085041" w:val="clear"/>
        </w:rPr>
        <w:t xml:space="preserve"> DP-5 </w:t>
      </w:r>
      <w:r>
        <w:rPr>
          <w:b/>
          <w:bCs/>
          <w:color w:val="085041"/>
          <w:sz w:val="24"/>
          <w:szCs w:val="24"/>
        </w:rPr>
        <w:t xml:space="preserve">  Contrats et engagements importants</w:t>
      </w:r>
    </w:p>
    <w:p>
      <w:pPr>
        <w:pStyle w:val="ListParagraph"/>
        <w:numPr>
          <w:ilvl w:val="0"/>
          <w:numId w:val="2"/>
        </w:numPr>
        <w:spacing w:after="60" w:line="270"/>
      </w:pPr>
      <w:r>
        <w:t xml:space="preserve">Emprunt bancaire de 35 000 000 FDJ, souscrit en 2023, remboursable sur 5 ans, taux fixe. Échéances mensuelles.</w:t>
      </w:r>
    </w:p>
    <w:p>
      <w:pPr>
        <w:pStyle w:val="ListParagraph"/>
        <w:numPr>
          <w:ilvl w:val="0"/>
          <w:numId w:val="2"/>
        </w:numPr>
        <w:spacing w:after="60" w:line="270"/>
      </w:pPr>
      <w:r>
        <w:t xml:space="preserve">Bail commercial de l'entrepôt, renouvelable, loyer mensuel inclus dans les autres charges externes.</w:t>
      </w:r>
    </w:p>
    <w:p>
      <w:r>
        <w:br w:type="page"/>
      </w:r>
    </w:p>
    <w:p>
      <w:pPr>
        <w:pStyle w:val="Heading1"/>
      </w:pPr>
      <w:r>
        <w:t xml:space="preserve">Dossier annuel — exercice 2025</w:t>
      </w:r>
    </w:p>
    <w:p>
      <w:pPr>
        <w:pStyle w:val="Heading2"/>
      </w:pPr>
      <w:r>
        <w:t xml:space="preserve">Phase 0 — Acceptation de la mission</w:t>
      </w:r>
    </w:p>
    <w:p>
      <w:pPr>
        <w:pBdr>
          <w:bottom w:val="single" w:color="DDDDDD" w:sz="4" w:space="3"/>
        </w:pBdr>
        <w:spacing w:after="100" w:before="240"/>
      </w:pPr>
      <w:r>
        <w:rPr>
          <w:b/>
          <w:bCs/>
          <w:color w:val="FFFFFF"/>
          <w:sz w:val="19"/>
          <w:szCs w:val="19"/>
          <w:shd w:fill="085041" w:val="clear"/>
        </w:rPr>
        <w:t xml:space="preserve"> DA-0.1 </w:t>
      </w:r>
      <w:r>
        <w:rPr>
          <w:b/>
          <w:bCs/>
          <w:color w:val="085041"/>
          <w:sz w:val="24"/>
          <w:szCs w:val="24"/>
        </w:rPr>
        <w:t xml:space="preserve">  Fiche d'acceptation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Critère</w:t>
            </w:r>
          </w:p>
        </w:tc>
        <w:tc>
          <w:tcPr>
            <w:tcW w:type="dxa" w:w="696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Évaluation</w:t>
            </w:r>
          </w:p>
        </w:tc>
      </w:tr>
      <w:tr>
        <w:tc>
          <w:tcPr>
            <w:tcW w:type="dxa" w:w="2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Indépendance</w:t>
            </w:r>
          </w:p>
        </w:tc>
        <w:tc>
          <w:tcPr>
            <w:tcW w:type="dxa" w:w="69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Aucun lien financier, familial ou d'intérêt avec MARSA. Première mission pour le cabinet.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Compétence</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Secteur du négoce maîtrisé ; pas de complexité technique particulière.</w:t>
            </w:r>
          </w:p>
        </w:tc>
      </w:tr>
      <w:tr>
        <w:tc>
          <w:tcPr>
            <w:tcW w:type="dxa" w:w="2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Ressources</w:t>
            </w:r>
          </w:p>
        </w:tc>
        <w:tc>
          <w:tcPr>
            <w:tcW w:type="dxa" w:w="69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Disponibilité confirmée sur la période de janvier à mars 2026.</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Risque client</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Modéré. Société bénéficiaire, mais croissance rapide des créances à surveiller.</w:t>
            </w:r>
          </w:p>
        </w:tc>
      </w:tr>
      <w:tr>
        <w:tc>
          <w:tcPr>
            <w:tcW w:type="dxa" w:w="2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Décision</w:t>
            </w:r>
          </w:p>
        </w:tc>
        <w:tc>
          <w:tcPr>
            <w:tcW w:type="dxa" w:w="69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Mission acceptée le 15/01/2026.</w:t>
            </w:r>
          </w:p>
        </w:tc>
      </w:tr>
    </w:tbl>
    <w:p>
      <w:pPr>
        <w:pBdr>
          <w:bottom w:val="single" w:color="DDDDDD" w:sz="4" w:space="3"/>
        </w:pBdr>
        <w:spacing w:after="100" w:before="240"/>
      </w:pPr>
      <w:r>
        <w:rPr>
          <w:b/>
          <w:bCs/>
          <w:color w:val="FFFFFF"/>
          <w:sz w:val="19"/>
          <w:szCs w:val="19"/>
          <w:shd w:fill="085041" w:val="clear"/>
        </w:rPr>
        <w:t xml:space="preserve"> DA-0.2 </w:t>
      </w:r>
      <w:r>
        <w:rPr>
          <w:b/>
          <w:bCs/>
          <w:color w:val="085041"/>
          <w:sz w:val="24"/>
          <w:szCs w:val="24"/>
        </w:rPr>
        <w:t xml:space="preserve">  Lettre de mission (extrait)</w:t>
      </w:r>
    </w:p>
    <w:p>
      <w:pPr>
        <w:spacing w:after="120" w:line="276"/>
      </w:pPr>
      <w:r>
        <w:t xml:space="preserve">« …Notre mission a pour objet l'audit des comptes annuels de MARSA Distribution SARL relatifs à l'exercice clos le 31/12/2025, en vue d'exprimer une opinion sur leur image fidèle. La direction demeure responsable de l'établissement des comptes ; il nous appartient de formuler une opinion indépendante. La mission est réalisée selon une démarche par les risques. Honoraires et calendrier figurent en annexe… »</w:t>
      </w:r>
    </w:p>
    <w:p>
      <w:pPr>
        <w:spacing w:after="140" w:before="60" w:line="272"/>
      </w:pPr>
      <w:r>
        <w:rPr>
          <w:b/>
          <w:bCs/>
          <w:color w:val="1D9E75"/>
        </w:rPr>
        <w:t xml:space="preserve">Conclusion : </w:t>
      </w:r>
      <w:r>
        <w:rPr>
          <w:i/>
          <w:iCs/>
        </w:rPr>
        <w:t xml:space="preserve">Mission acceptée et cadrée. La lettre de mission est signée par les deux parties.</w:t>
      </w:r>
    </w:p>
    <w:p>
      <w:pPr>
        <w:pStyle w:val="Heading2"/>
      </w:pPr>
      <w:r>
        <w:t xml:space="preserve">Phase 1 — Planification et analyse des risques</w:t>
      </w:r>
    </w:p>
    <w:p>
      <w:pPr>
        <w:pBdr>
          <w:bottom w:val="single" w:color="DDDDDD" w:sz="4" w:space="3"/>
        </w:pBdr>
        <w:spacing w:after="100" w:before="240"/>
      </w:pPr>
      <w:r>
        <w:rPr>
          <w:b/>
          <w:bCs/>
          <w:color w:val="FFFFFF"/>
          <w:sz w:val="19"/>
          <w:szCs w:val="19"/>
          <w:shd w:fill="085041" w:val="clear"/>
        </w:rPr>
        <w:t xml:space="preserve"> DA-1.1 </w:t>
      </w:r>
      <w:r>
        <w:rPr>
          <w:b/>
          <w:bCs/>
          <w:color w:val="085041"/>
          <w:sz w:val="24"/>
          <w:szCs w:val="24"/>
        </w:rPr>
        <w:t xml:space="preserve">  Prise de connaissance</w:t>
      </w:r>
    </w:p>
    <w:p>
      <w:pPr>
        <w:spacing w:after="120" w:line="276"/>
      </w:pPr>
      <w:r>
        <w:t xml:space="preserve">Activité de négoce à faible marge mais volumes élevés. Croissance du chiffre d'affaires de 12,9 % sur l'exercice. Trésorerie correcte. Point d'attention signalé par la direction : plusieurs clients règlent avec retard, et un litige est en cours avec un client du nord du pays.</w:t>
      </w:r>
    </w:p>
    <w:p>
      <w:pPr>
        <w:pBdr>
          <w:bottom w:val="single" w:color="DDDDDD" w:sz="4" w:space="3"/>
        </w:pBdr>
        <w:spacing w:after="100" w:before="240"/>
      </w:pPr>
      <w:r>
        <w:rPr>
          <w:b/>
          <w:bCs/>
          <w:color w:val="FFFFFF"/>
          <w:sz w:val="19"/>
          <w:szCs w:val="19"/>
          <w:shd w:fill="085041" w:val="clear"/>
        </w:rPr>
        <w:t xml:space="preserve"> DA-1.2 </w:t>
      </w:r>
      <w:r>
        <w:rPr>
          <w:b/>
          <w:bCs/>
          <w:color w:val="085041"/>
          <w:sz w:val="24"/>
          <w:szCs w:val="24"/>
        </w:rPr>
        <w:t xml:space="preserve">  Revue analytique préliminaire</w:t>
      </w:r>
    </w:p>
    <w:p>
      <w:pPr>
        <w:spacing w:after="120" w:line="276"/>
      </w:pPr>
      <w:r>
        <w:t xml:space="preserve">Comparaison des principaux postes 2025 / 2024 (en milliers de FDJ)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60"/>
      </w:tblGrid>
      <w:tr>
        <w:trPr>
          <w:tblHeader/>
        </w:trPr>
        <w:tc>
          <w:tcPr>
            <w:tcW w:type="dxa" w:w="24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Poste</w:t>
            </w:r>
          </w:p>
        </w:tc>
        <w:tc>
          <w:tcPr>
            <w:tcW w:type="dxa" w:w="15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2025</w:t>
            </w:r>
          </w:p>
        </w:tc>
        <w:tc>
          <w:tcPr>
            <w:tcW w:type="dxa" w:w="15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2024</w:t>
            </w:r>
          </w:p>
        </w:tc>
        <w:tc>
          <w:tcPr>
            <w:tcW w:type="dxa" w:w="15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Variation</w:t>
            </w:r>
          </w:p>
        </w:tc>
        <w:tc>
          <w:tcPr>
            <w:tcW w:type="dxa" w:w="246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Lecture</w:t>
            </w:r>
          </w:p>
        </w:tc>
      </w:tr>
      <w:tr>
        <w:tc>
          <w:tcPr>
            <w:tcW w:type="dxa" w:w="2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Ventes</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412 000</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365 000</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+12,9 %</w:t>
            </w:r>
          </w:p>
        </w:tc>
        <w:tc>
          <w:tcPr>
            <w:tcW w:type="dxa" w:w="24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Croissance soutenue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Marge commerciale</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right"/>
            </w:pPr>
            <w:r>
              <w:rPr>
                <w:sz w:val="19"/>
                <w:szCs w:val="19"/>
              </w:rPr>
              <w:t xml:space="preserve">119 000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right"/>
            </w:pPr>
            <w:r>
              <w:rPr>
                <w:sz w:val="19"/>
                <w:szCs w:val="19"/>
              </w:rPr>
              <w:t xml:space="preserve">100 000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right"/>
            </w:pPr>
            <w:r>
              <w:rPr>
                <w:sz w:val="19"/>
                <w:szCs w:val="19"/>
              </w:rPr>
              <w:t xml:space="preserve">+19,0 %</w:t>
            </w:r>
          </w:p>
        </w:tc>
        <w:tc>
          <w:tcPr>
            <w:tcW w:type="dxa" w:w="2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Taux stable (~29 %)</w:t>
            </w:r>
          </w:p>
        </w:tc>
      </w:tr>
      <w:tr>
        <w:tc>
          <w:tcPr>
            <w:tcW w:type="dxa" w:w="2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Clients</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58 000</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44 000</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+31,8 %</w:t>
            </w:r>
          </w:p>
        </w:tc>
        <w:tc>
          <w:tcPr>
            <w:tcW w:type="dxa" w:w="24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Croît plus vite que les ventes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Délai de règlement clients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right"/>
            </w:pPr>
            <w:r>
              <w:rPr>
                <w:sz w:val="19"/>
                <w:szCs w:val="19"/>
              </w:rPr>
              <w:t xml:space="preserve">51 j</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right"/>
            </w:pPr>
            <w:r>
              <w:rPr>
                <w:sz w:val="19"/>
                <w:szCs w:val="19"/>
              </w:rPr>
              <w:t xml:space="preserve">43 j</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right"/>
            </w:pPr>
            <w:r>
              <w:rPr>
                <w:sz w:val="19"/>
                <w:szCs w:val="19"/>
              </w:rPr>
              <w:t xml:space="preserve">+8 j</w:t>
            </w:r>
          </w:p>
        </w:tc>
        <w:tc>
          <w:tcPr>
            <w:tcW w:type="dxa" w:w="2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Dégradation — risque</w:t>
            </w:r>
          </w:p>
        </w:tc>
      </w:tr>
      <w:tr>
        <w:tc>
          <w:tcPr>
            <w:tcW w:type="dxa" w:w="2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Stocks</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62 000</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55 000</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+12,7 %</w:t>
            </w:r>
          </w:p>
        </w:tc>
        <w:tc>
          <w:tcPr>
            <w:tcW w:type="dxa" w:w="24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Cohérent avec l'activité</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Fournisseurs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right"/>
            </w:pPr>
            <w:r>
              <w:rPr>
                <w:sz w:val="19"/>
                <w:szCs w:val="19"/>
              </w:rPr>
              <w:t xml:space="preserve">48 000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right"/>
            </w:pPr>
            <w:r>
              <w:rPr>
                <w:sz w:val="19"/>
                <w:szCs w:val="19"/>
              </w:rPr>
              <w:t xml:space="preserve">41 000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right"/>
            </w:pPr>
            <w:r>
              <w:rPr>
                <w:sz w:val="19"/>
                <w:szCs w:val="19"/>
              </w:rPr>
              <w:t xml:space="preserve">+17,1 %</w:t>
            </w:r>
          </w:p>
        </w:tc>
        <w:tc>
          <w:tcPr>
            <w:tcW w:type="dxa" w:w="2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À rapprocher des achats</w:t>
            </w:r>
          </w:p>
        </w:tc>
      </w:tr>
      <w:tr>
        <w:tc>
          <w:tcPr>
            <w:tcW w:type="dxa" w:w="2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Résultat net</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22 000</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18 000</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+22,2 %</w:t>
            </w:r>
          </w:p>
        </w:tc>
        <w:tc>
          <w:tcPr>
            <w:tcW w:type="dxa" w:w="24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En hausse</w:t>
            </w:r>
          </w:p>
        </w:tc>
      </w:tr>
    </w:tbl>
    <w:p>
      <w:pPr>
        <w:pBdr>
          <w:left w:val="single" w:color="E8A020" w:sz="18" w:space="12"/>
        </w:pBdr>
        <w:spacing w:after="140" w:before="80" w:line="272"/>
        <w:ind w:left="240"/>
      </w:pPr>
      <w:r>
        <w:rPr>
          <w:b/>
          <w:bCs/>
          <w:color w:val="9A6A10"/>
        </w:rPr>
        <w:t xml:space="preserve">Anomalie détectée — </w:t>
      </w:r>
      <w:r>
        <w:t xml:space="preserve">Le poste clients augmente de 31,8 % alors que les ventes ne progressent que de 12,9 %. Le délai de règlement passe de 43 à 51 jours. Cela oriente l'effort d'audit vers le cycle ventes-clients (réalité des créances, recouvrabilité, séparation des exercices).</w:t>
      </w:r>
    </w:p>
    <w:p>
      <w:pPr>
        <w:pBdr>
          <w:bottom w:val="single" w:color="DDDDDD" w:sz="4" w:space="3"/>
        </w:pBdr>
        <w:spacing w:after="100" w:before="240"/>
      </w:pPr>
      <w:r>
        <w:rPr>
          <w:b/>
          <w:bCs/>
          <w:color w:val="FFFFFF"/>
          <w:sz w:val="19"/>
          <w:szCs w:val="19"/>
          <w:shd w:fill="085041" w:val="clear"/>
        </w:rPr>
        <w:t xml:space="preserve"> DA-1.3 </w:t>
      </w:r>
      <w:r>
        <w:rPr>
          <w:b/>
          <w:bCs/>
          <w:color w:val="085041"/>
          <w:sz w:val="24"/>
          <w:szCs w:val="24"/>
        </w:rPr>
        <w:t xml:space="preserve">  Seuil de signification</w:t>
      </w:r>
    </w:p>
    <w:p>
      <w:pPr>
        <w:spacing w:after="120" w:line="276"/>
      </w:pPr>
      <w:r>
        <w:t xml:space="preserve">Base retenue : le chiffre d'affaires, indicateur stable pour une activité de négoce.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Niveau</w:t>
            </w:r>
          </w:p>
        </w:tc>
        <w:tc>
          <w:tcPr>
            <w:tcW w:type="dxa" w:w="436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Calcul</w:t>
            </w:r>
          </w:p>
        </w:tc>
        <w:tc>
          <w:tcPr>
            <w:tcW w:type="dxa" w:w="24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Montant (FDJ)</w:t>
            </w:r>
          </w:p>
        </w:tc>
      </w:tr>
      <w:tr>
        <w:tc>
          <w:tcPr>
            <w:tcW w:type="dxa" w:w="26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Seuil global</w:t>
            </w:r>
          </w:p>
        </w:tc>
        <w:tc>
          <w:tcPr>
            <w:tcW w:type="dxa" w:w="43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 1 % du chiffre d'affaires</w:t>
            </w:r>
          </w:p>
        </w:tc>
        <w:tc>
          <w:tcPr>
            <w:tcW w:type="dxa" w:w="2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4 000 000</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Seuil de travail</w:t>
            </w:r>
          </w:p>
        </w:tc>
        <w:tc>
          <w:tcPr>
            <w:tcW w:type="dxa" w:w="4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75 % du seuil global</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right"/>
            </w:pPr>
            <w:r>
              <w:rPr>
                <w:sz w:val="19"/>
                <w:szCs w:val="19"/>
              </w:rPr>
              <w:t xml:space="preserve">3 000 000</w:t>
            </w:r>
          </w:p>
        </w:tc>
      </w:tr>
      <w:tr>
        <w:tc>
          <w:tcPr>
            <w:tcW w:type="dxa" w:w="26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Seuil de remontée</w:t>
            </w:r>
          </w:p>
        </w:tc>
        <w:tc>
          <w:tcPr>
            <w:tcW w:type="dxa" w:w="43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5 % du seuil global</w:t>
            </w:r>
          </w:p>
        </w:tc>
        <w:tc>
          <w:tcPr>
            <w:tcW w:type="dxa" w:w="2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200 000</w:t>
            </w:r>
          </w:p>
        </w:tc>
      </w:tr>
    </w:tbl>
    <w:p>
      <w:pPr>
        <w:pBdr>
          <w:left w:val="single" w:color="1D9E75" w:sz="18" w:space="12"/>
        </w:pBdr>
        <w:shd w:fill="F2F6F4" w:val="clear"/>
        <w:spacing w:after="160" w:before="80" w:line="272"/>
        <w:ind w:left="240"/>
      </w:pPr>
      <w:r>
        <w:rPr>
          <w:b/>
          <w:bCs/>
          <w:color w:val="085041"/>
        </w:rPr>
        <w:t xml:space="preserve">Probare — </w:t>
      </w:r>
      <w:r>
        <w:t xml:space="preserve">Le seuil est un paramètre transversal : une anomalie isolée est jugée significative au-delà de 4 000 000 ; en deçà de 200 000, elle n'est même pas remontée. Le cumul des anomalies sera confronté au seuil global en fin de mission.</w:t>
      </w:r>
    </w:p>
    <w:p>
      <w:pPr>
        <w:pBdr>
          <w:bottom w:val="single" w:color="DDDDDD" w:sz="4" w:space="3"/>
        </w:pBdr>
        <w:spacing w:after="100" w:before="240"/>
      </w:pPr>
      <w:r>
        <w:rPr>
          <w:b/>
          <w:bCs/>
          <w:color w:val="FFFFFF"/>
          <w:sz w:val="19"/>
          <w:szCs w:val="19"/>
          <w:shd w:fill="085041" w:val="clear"/>
        </w:rPr>
        <w:t xml:space="preserve"> DA-1.4 </w:t>
      </w:r>
      <w:r>
        <w:rPr>
          <w:b/>
          <w:bCs/>
          <w:color w:val="085041"/>
          <w:sz w:val="24"/>
          <w:szCs w:val="24"/>
        </w:rPr>
        <w:t xml:space="preserve">  Cartographie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Cycle</w:t>
            </w:r>
          </w:p>
        </w:tc>
        <w:tc>
          <w:tcPr>
            <w:tcW w:type="dxa" w:w="456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Risque principal</w:t>
            </w:r>
          </w:p>
        </w:tc>
        <w:tc>
          <w:tcPr>
            <w:tcW w:type="dxa" w:w="24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Assertion visée</w:t>
            </w:r>
          </w:p>
        </w:tc>
      </w:tr>
      <w:tr>
        <w:tc>
          <w:tcPr>
            <w:tcW w:type="dxa" w:w="2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Ventes-clients</w:t>
            </w:r>
          </w:p>
        </w:tc>
        <w:tc>
          <w:tcPr>
            <w:tcW w:type="dxa" w:w="45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Séparation des exercices ; créances douteuses non dépréciées</w:t>
            </w:r>
          </w:p>
        </w:tc>
        <w:tc>
          <w:tcPr>
            <w:tcW w:type="dxa" w:w="2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Réalité, évaluation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Achats-fournisseurs</w:t>
            </w:r>
          </w:p>
        </w:tc>
        <w:tc>
          <w:tcPr>
            <w:tcW w:type="dxa" w:w="4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Factures non parvenues non provisionnées</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Exhaustivité, séparation des exercices</w:t>
            </w:r>
          </w:p>
        </w:tc>
      </w:tr>
      <w:tr>
        <w:tc>
          <w:tcPr>
            <w:tcW w:type="dxa" w:w="2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Trésorerie</w:t>
            </w:r>
          </w:p>
        </w:tc>
        <w:tc>
          <w:tcPr>
            <w:tcW w:type="dxa" w:w="45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Opérations bancaires non comptabilisées</w:t>
            </w:r>
          </w:p>
        </w:tc>
        <w:tc>
          <w:tcPr>
            <w:tcW w:type="dxa" w:w="2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Exhaustivité, exactitude</w:t>
            </w:r>
          </w:p>
        </w:tc>
      </w:tr>
    </w:tbl>
    <w:p>
      <w:pPr>
        <w:pBdr>
          <w:bottom w:val="single" w:color="DDDDDD" w:sz="4" w:space="3"/>
        </w:pBdr>
        <w:spacing w:after="100" w:before="240"/>
      </w:pPr>
      <w:r>
        <w:rPr>
          <w:b/>
          <w:bCs/>
          <w:color w:val="FFFFFF"/>
          <w:sz w:val="19"/>
          <w:szCs w:val="19"/>
          <w:shd w:fill="085041" w:val="clear"/>
        </w:rPr>
        <w:t xml:space="preserve"> DA-1.5 </w:t>
      </w:r>
      <w:r>
        <w:rPr>
          <w:b/>
          <w:bCs/>
          <w:color w:val="085041"/>
          <w:sz w:val="24"/>
          <w:szCs w:val="24"/>
        </w:rPr>
        <w:t xml:space="preserve">  Plan de mission</w:t>
      </w:r>
    </w:p>
    <w:p>
      <w:pPr>
        <w:spacing w:after="120" w:line="276"/>
      </w:pPr>
      <w:r>
        <w:t xml:space="preserve">Approche substantive (le contrôle interne du cycle ventes présente une faiblesse de séparation des tâches). Effort concentré sur les trois cycles à risque. Recours à la circularisation des clients, des fournisseurs et de la banque. Tests de séparation des exercices sur les ventes et les achats de fin décembre.</w:t>
      </w:r>
    </w:p>
    <w:p>
      <w:pPr>
        <w:pBdr>
          <w:bottom w:val="single" w:color="DDDDDD" w:sz="4" w:space="3"/>
        </w:pBdr>
        <w:spacing w:after="100" w:before="240"/>
      </w:pPr>
      <w:r>
        <w:rPr>
          <w:b/>
          <w:bCs/>
          <w:color w:val="FFFFFF"/>
          <w:sz w:val="19"/>
          <w:szCs w:val="19"/>
          <w:shd w:fill="085041" w:val="clear"/>
        </w:rPr>
        <w:t xml:space="preserve"> DA-1.6 </w:t>
      </w:r>
      <w:r>
        <w:rPr>
          <w:b/>
          <w:bCs/>
          <w:color w:val="085041"/>
          <w:sz w:val="24"/>
          <w:szCs w:val="24"/>
        </w:rPr>
        <w:t xml:space="preserve">  Programme de travail (synthèse)</w:t>
      </w:r>
    </w:p>
    <w:p>
      <w:pPr>
        <w:pStyle w:val="ListParagraph"/>
        <w:numPr>
          <w:ilvl w:val="0"/>
          <w:numId w:val="2"/>
        </w:numPr>
        <w:spacing w:after="60" w:line="270"/>
      </w:pPr>
      <w:r>
        <w:t xml:space="preserve">Ventes-clients : circularisation d'un échantillon de clients ; test de cut-off sur les dernières factures ; revue des créances anciennes et de leur dépréciation.</w:t>
      </w:r>
    </w:p>
    <w:p>
      <w:pPr>
        <w:pStyle w:val="ListParagraph"/>
        <w:numPr>
          <w:ilvl w:val="0"/>
          <w:numId w:val="2"/>
        </w:numPr>
        <w:spacing w:after="60" w:line="270"/>
      </w:pPr>
      <w:r>
        <w:t xml:space="preserve">Achats-fournisseurs : circularisation des principaux fournisseurs ; examen des factures reçues en janvier pour rattachement au bon exercice.</w:t>
      </w:r>
    </w:p>
    <w:p>
      <w:pPr>
        <w:pStyle w:val="ListParagraph"/>
        <w:numPr>
          <w:ilvl w:val="0"/>
          <w:numId w:val="2"/>
        </w:numPr>
        <w:spacing w:after="60" w:line="270"/>
      </w:pPr>
      <w:r>
        <w:t xml:space="preserve">Trésorerie : contrôle du rapprochement bancaire et des éléments en rapprochement.</w:t>
      </w:r>
    </w:p>
    <w:p>
      <w:r>
        <w:br w:type="page"/>
      </w:r>
    </w:p>
    <w:p>
      <w:pPr>
        <w:pStyle w:val="Heading2"/>
      </w:pPr>
      <w:r>
        <w:t xml:space="preserve">Phase 2 — Appréciation du contrôle interne</w:t>
      </w:r>
    </w:p>
    <w:p>
      <w:pPr>
        <w:pBdr>
          <w:bottom w:val="single" w:color="DDDDDD" w:sz="4" w:space="3"/>
        </w:pBdr>
        <w:spacing w:after="100" w:before="240"/>
      </w:pPr>
      <w:r>
        <w:rPr>
          <w:b/>
          <w:bCs/>
          <w:color w:val="FFFFFF"/>
          <w:sz w:val="19"/>
          <w:szCs w:val="19"/>
          <w:shd w:fill="085041" w:val="clear"/>
        </w:rPr>
        <w:t xml:space="preserve"> DA-2.1 </w:t>
      </w:r>
      <w:r>
        <w:rPr>
          <w:b/>
          <w:bCs/>
          <w:color w:val="085041"/>
          <w:sz w:val="24"/>
          <w:szCs w:val="24"/>
        </w:rPr>
        <w:t xml:space="preserve">  Synthèse par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Cycle</w:t>
            </w:r>
          </w:p>
        </w:tc>
        <w:tc>
          <w:tcPr>
            <w:tcW w:type="dxa" w:w="436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Constat</w:t>
            </w:r>
          </w:p>
        </w:tc>
        <w:tc>
          <w:tcPr>
            <w:tcW w:type="dxa" w:w="28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Conséquence sur l'audit</w:t>
            </w:r>
          </w:p>
        </w:tc>
      </w:tr>
      <w:tr>
        <w:tc>
          <w:tcPr>
            <w:tcW w:type="dxa" w:w="22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Ventes-clients</w:t>
            </w:r>
          </w:p>
        </w:tc>
        <w:tc>
          <w:tcPr>
            <w:tcW w:type="dxa" w:w="43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Même personne établit les bons de livraison et les factures (pas de séparation des tâches).</w:t>
            </w:r>
          </w:p>
        </w:tc>
        <w:tc>
          <w:tcPr>
            <w:tcW w:type="dxa" w:w="28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Renforcer les contrôles substantifs : cut-off, circularisation.</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Achats-fournisseurs</w:t>
            </w:r>
          </w:p>
        </w:tc>
        <w:tc>
          <w:tcPr>
            <w:tcW w:type="dxa" w:w="4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Réception et comptabilisation correctement séparées, mais factures souvent en retard.</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Vigilance sur les factures non parvenues à la clôture.</w:t>
            </w:r>
          </w:p>
        </w:tc>
      </w:tr>
      <w:tr>
        <w:tc>
          <w:tcPr>
            <w:tcW w:type="dxa" w:w="22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Trésorerie</w:t>
            </w:r>
          </w:p>
        </w:tc>
        <w:tc>
          <w:tcPr>
            <w:tcW w:type="dxa" w:w="43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Rapprochement mensuel effectué, mais saisie des agios parfois différée.</w:t>
            </w:r>
          </w:p>
        </w:tc>
        <w:tc>
          <w:tcPr>
            <w:tcW w:type="dxa" w:w="28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Contrôler le dernier rapprochement de l'exercice.</w:t>
            </w:r>
          </w:p>
        </w:tc>
      </w:tr>
    </w:tbl>
    <w:p>
      <w:pPr>
        <w:spacing w:after="140" w:before="60" w:line="272"/>
      </w:pPr>
      <w:r>
        <w:rPr>
          <w:b/>
          <w:bCs/>
          <w:color w:val="1D9E75"/>
        </w:rPr>
        <w:t xml:space="preserve">Conclusion : </w:t>
      </w:r>
      <w:r>
        <w:rPr>
          <w:i/>
          <w:iCs/>
        </w:rPr>
        <w:t xml:space="preserve">Le contrôle interne ne peut être pleinement utilisé : l'approche reste substantive sur les trois cycles.</w:t>
      </w:r>
    </w:p>
    <w:p>
      <w:r>
        <w:br w:type="page"/>
      </w:r>
    </w:p>
    <w:p>
      <w:pPr>
        <w:pStyle w:val="Heading2"/>
      </w:pPr>
      <w:r>
        <w:t xml:space="preserve">Phase 3 — Contrôle des comptes</w:t>
      </w:r>
    </w:p>
    <w:p>
      <w:pPr>
        <w:pBdr>
          <w:bottom w:val="single" w:color="DDDDDD" w:sz="4" w:space="3"/>
        </w:pBdr>
        <w:spacing w:after="100" w:before="240"/>
      </w:pPr>
      <w:r>
        <w:rPr>
          <w:b/>
          <w:bCs/>
          <w:color w:val="FFFFFF"/>
          <w:sz w:val="19"/>
          <w:szCs w:val="19"/>
          <w:shd w:fill="085041" w:val="clear"/>
        </w:rPr>
        <w:t xml:space="preserve"> DA-3.A </w:t>
      </w:r>
      <w:r>
        <w:rPr>
          <w:b/>
          <w:bCs/>
          <w:color w:val="085041"/>
          <w:sz w:val="24"/>
          <w:szCs w:val="24"/>
        </w:rPr>
        <w:t xml:space="preserve">  Cycle ventes-clients</w:t>
      </w:r>
    </w:p>
    <w:p>
      <w:pPr>
        <w:spacing w:after="120" w:line="276"/>
      </w:pPr>
      <w:r>
        <w:rPr>
          <w:b/>
          <w:bCs/>
          <w:color w:val="085041"/>
        </w:rPr>
        <w:t xml:space="preserve">Objectif. </w:t>
      </w:r>
      <w:r>
        <w:t xml:space="preserve">S'assurer de la réalité, de l'exhaustivité, de l'évaluation et du rattachement des ventes et des créances clients.</w:t>
      </w:r>
    </w:p>
    <w:p>
      <w:pPr>
        <w:pStyle w:val="Heading3"/>
      </w:pPr>
      <w:r>
        <w:t xml:space="preserve">Circularisation des clients</w:t>
      </w:r>
    </w:p>
    <w:p>
      <w:pPr>
        <w:spacing w:after="120" w:line="276"/>
      </w:pPr>
      <w:r>
        <w:t xml:space="preserve">Demandes adressées à un échantillon de clients. Réponse notable : la Supérette Balbala Plus (C002) confirme un solde de 7 000 000 FDJ contre 7 600 000 dans les livres.</w:t>
      </w:r>
    </w:p>
    <w:p>
      <w:pPr>
        <w:spacing w:after="120" w:line="276"/>
      </w:pPr>
      <w:r>
        <w:t xml:space="preserve">Investigation : l'écart de 600 000 correspond à un avoir (AV-2025-77) émis le 27/12/2025, non encore pris en compte par le client lors de sa réponse. Écart justifié, sans incidence.</w:t>
      </w:r>
    </w:p>
    <w:p>
      <w:pPr>
        <w:pStyle w:val="Heading3"/>
      </w:pPr>
      <w:r>
        <w:t xml:space="preserve">Test de séparation des exercices (cut-off)</w:t>
      </w:r>
    </w:p>
    <w:p>
      <w:pPr>
        <w:spacing w:after="120" w:line="276"/>
      </w:pPr>
      <w:r>
        <w:t xml:space="preserve">Examen des dernières factures de vente de l'exercice. La facture FA-2025-0412 du 31/12/2025 (Société Obock Trading, 1 800 000 FDJ) a été comptabilisée en produit de 2025, alors que le bon de livraison correspondant est daté du 03/01/2026. La marchandise figure encore en stock au 31/12.</w:t>
      </w:r>
    </w:p>
    <w:p>
      <w:pPr>
        <w:pBdr>
          <w:left w:val="single" w:color="E8A020" w:sz="18" w:space="12"/>
        </w:pBdr>
        <w:spacing w:after="140" w:before="80" w:line="272"/>
        <w:ind w:left="240"/>
      </w:pPr>
      <w:r>
        <w:rPr>
          <w:b/>
          <w:bCs/>
          <w:color w:val="9A6A10"/>
        </w:rPr>
        <w:t xml:space="preserve">Anomalie détectée — </w:t>
      </w:r>
      <w:r>
        <w:t xml:space="preserve">Vente comptabilisée à tort en 2025. Le produit et la créance sont surévalués de 1 800 000 FDJ ; la marchandise restant en stock, le résultat 2025 est surévalué d'autant. Assertion : séparation des exercices.</w:t>
      </w:r>
    </w:p>
    <w:p>
      <w:pPr>
        <w:pStyle w:val="Heading3"/>
      </w:pPr>
      <w:r>
        <w:t xml:space="preserve">Revue des créances douteuses</w:t>
      </w:r>
    </w:p>
    <w:p>
      <w:pPr>
        <w:spacing w:after="120" w:line="276"/>
      </w:pPr>
      <w:r>
        <w:t xml:space="preserve">La créance sur la Société Tadjoura Négoce (C007), de 3 500 000 FDJ, est échue depuis plus de douze mois et fait l'objet d'un litige. La dépréciation comptabilisée (compte 491) ne s'élève qu'à 2 000 000 FDJ pour l'ensemble du poste.</w:t>
      </w:r>
    </w:p>
    <w:p>
      <w:pPr>
        <w:pBdr>
          <w:left w:val="single" w:color="E8A020" w:sz="18" w:space="12"/>
        </w:pBdr>
        <w:spacing w:after="140" w:before="80" w:line="272"/>
        <w:ind w:left="240"/>
      </w:pPr>
      <w:r>
        <w:rPr>
          <w:b/>
          <w:bCs/>
          <w:color w:val="9A6A10"/>
        </w:rPr>
        <w:t xml:space="preserve">Anomalie détectée — </w:t>
      </w:r>
      <w:r>
        <w:t xml:space="preserve">Dépréciation insuffisante de 1 500 000 FDJ au regard d'une créance jugée douteuse à 3 500 000. Le résultat et l'actif sont surévalués de 1 500 000 FDJ. Assertion : évaluation.</w:t>
      </w:r>
    </w:p>
    <w:p>
      <w:pPr>
        <w:spacing w:after="140" w:before="60" w:line="272"/>
      </w:pPr>
      <w:r>
        <w:rPr>
          <w:b/>
          <w:bCs/>
          <w:color w:val="1D9E75"/>
        </w:rPr>
        <w:t xml:space="preserve">Conclusion : </w:t>
      </w:r>
      <w:r>
        <w:rPr>
          <w:i/>
          <w:iCs/>
        </w:rPr>
        <w:t xml:space="preserve">Deux anomalies relevées (cut-off 1 800 000 ; dépréciation 1 500 000). L'écart de circularisation est justifié.</w:t>
      </w:r>
    </w:p>
    <w:p>
      <w:pPr>
        <w:pBdr>
          <w:bottom w:val="single" w:color="DDDDDD" w:sz="4" w:space="3"/>
        </w:pBdr>
        <w:spacing w:after="100" w:before="240"/>
      </w:pPr>
      <w:r>
        <w:rPr>
          <w:b/>
          <w:bCs/>
          <w:color w:val="FFFFFF"/>
          <w:sz w:val="19"/>
          <w:szCs w:val="19"/>
          <w:shd w:fill="085041" w:val="clear"/>
        </w:rPr>
        <w:t xml:space="preserve"> DA-3.B </w:t>
      </w:r>
      <w:r>
        <w:rPr>
          <w:b/>
          <w:bCs/>
          <w:color w:val="085041"/>
          <w:sz w:val="24"/>
          <w:szCs w:val="24"/>
        </w:rPr>
        <w:t xml:space="preserve">  Cycle achats-fournisseurs</w:t>
      </w:r>
    </w:p>
    <w:p>
      <w:pPr>
        <w:spacing w:after="120" w:line="276"/>
      </w:pPr>
      <w:r>
        <w:rPr>
          <w:b/>
          <w:bCs/>
          <w:color w:val="085041"/>
        </w:rPr>
        <w:t xml:space="preserve">Objectif. </w:t>
      </w:r>
      <w:r>
        <w:t xml:space="preserve">S'assurer de l'exhaustivité des achats et des dettes, et de leur rattachement au bon exercice.</w:t>
      </w:r>
    </w:p>
    <w:p>
      <w:pPr>
        <w:pStyle w:val="Heading3"/>
      </w:pPr>
      <w:r>
        <w:t xml:space="preserve">Circularisation des fournisseurs</w:t>
      </w:r>
    </w:p>
    <w:p>
      <w:pPr>
        <w:spacing w:after="120" w:line="276"/>
      </w:pPr>
      <w:r>
        <w:t xml:space="preserve">Le Grossiste Al Madina (F002) confirme un solde supérieur de 2 400 000 FDJ à celui des livres, correspondant à une livraison de fin décembre.</w:t>
      </w:r>
    </w:p>
    <w:p>
      <w:pPr>
        <w:pStyle w:val="Heading3"/>
      </w:pPr>
      <w:r>
        <w:t xml:space="preserve">Test de séparation des exercices (cut-off achats)</w:t>
      </w:r>
    </w:p>
    <w:p>
      <w:pPr>
        <w:spacing w:after="120" w:line="276"/>
      </w:pPr>
      <w:r>
        <w:t xml:space="preserve">Examen des factures reçues en janvier 2026. La facture Al Madina AM-2026-014 du 08/01/2026 (2 400 000 FDJ) concerne une livraison du 28/12/2025 (bon de réception n°5567). Elle n'a été ni comptabilisée ni provisionnée à la clôture.</w:t>
      </w:r>
    </w:p>
    <w:p>
      <w:pPr>
        <w:pBdr>
          <w:left w:val="single" w:color="E8A020" w:sz="18" w:space="12"/>
        </w:pBdr>
        <w:spacing w:after="140" w:before="80" w:line="272"/>
        <w:ind w:left="240"/>
      </w:pPr>
      <w:r>
        <w:rPr>
          <w:b/>
          <w:bCs/>
          <w:color w:val="9A6A10"/>
        </w:rPr>
        <w:t xml:space="preserve">Anomalie détectée — </w:t>
      </w:r>
      <w:r>
        <w:t xml:space="preserve">Achat de l'exercice 2025 non enregistré. La charge et la dette fournisseur (facture non parvenue) sont sous-évaluées de 2 400 000 FDJ ; le résultat 2025 est surévalué d'autant. Assertion : exhaustivité / séparation des exercices.</w:t>
      </w:r>
    </w:p>
    <w:p>
      <w:pPr>
        <w:spacing w:after="140" w:before="60" w:line="272"/>
      </w:pPr>
      <w:r>
        <w:rPr>
          <w:b/>
          <w:bCs/>
          <w:color w:val="1D9E75"/>
        </w:rPr>
        <w:t xml:space="preserve">Conclusion : </w:t>
      </w:r>
      <w:r>
        <w:rPr>
          <w:i/>
          <w:iCs/>
        </w:rPr>
        <w:t xml:space="preserve">Une anomalie relevée (facture non parvenue 2 400 000), corroborée par la circularisation.</w:t>
      </w:r>
    </w:p>
    <w:p>
      <w:pPr>
        <w:pBdr>
          <w:bottom w:val="single" w:color="DDDDDD" w:sz="4" w:space="3"/>
        </w:pBdr>
        <w:spacing w:after="100" w:before="240"/>
      </w:pPr>
      <w:r>
        <w:rPr>
          <w:b/>
          <w:bCs/>
          <w:color w:val="FFFFFF"/>
          <w:sz w:val="19"/>
          <w:szCs w:val="19"/>
          <w:shd w:fill="085041" w:val="clear"/>
        </w:rPr>
        <w:t xml:space="preserve"> DA-3.C </w:t>
      </w:r>
      <w:r>
        <w:rPr>
          <w:b/>
          <w:bCs/>
          <w:color w:val="085041"/>
          <w:sz w:val="24"/>
          <w:szCs w:val="24"/>
        </w:rPr>
        <w:t xml:space="preserve">  Cycle trésorerie</w:t>
      </w:r>
    </w:p>
    <w:p>
      <w:pPr>
        <w:spacing w:after="120" w:line="276"/>
      </w:pPr>
      <w:r>
        <w:rPr>
          <w:b/>
          <w:bCs/>
          <w:color w:val="085041"/>
        </w:rPr>
        <w:t xml:space="preserve">Objectif. </w:t>
      </w:r>
      <w:r>
        <w:t xml:space="preserve">S'assurer de l'exactitude et de l'exhaustivité des opérations de trésorerie.</w:t>
      </w:r>
    </w:p>
    <w:p>
      <w:pPr>
        <w:spacing w:after="120" w:line="276"/>
      </w:pPr>
      <w:r>
        <w:t xml:space="preserve">Contrôle du rapprochement bancaire au 31/12/2025. Les chèques en circulation (chèque n°2451 de 1 200 000) et la remise non créditée (900 000) sont justifiés. En revanche, des agios et frais bancaires de 150 000 FDJ, prélevés par la banque le 31/12, n'ont pas été enregistrés dans les livres.</w:t>
      </w:r>
    </w:p>
    <w:p>
      <w:pPr>
        <w:pBdr>
          <w:left w:val="single" w:color="E8A020" w:sz="18" w:space="12"/>
        </w:pBdr>
        <w:spacing w:after="140" w:before="80" w:line="272"/>
        <w:ind w:left="240"/>
      </w:pPr>
      <w:r>
        <w:rPr>
          <w:b/>
          <w:bCs/>
          <w:color w:val="9A6A10"/>
        </w:rPr>
        <w:t xml:space="preserve">Anomalie détectée — </w:t>
      </w:r>
      <w:r>
        <w:t xml:space="preserve">Agios non comptabilisés de 150 000 FDJ : charges sous-évaluées et trésorerie surévaluée d'autant. Montant inférieur au seuil de remontée (200 000) — anomalie non significative, signalée pour mémoire. Assertion : exhaustivité / exactitude.</w:t>
      </w:r>
    </w:p>
    <w:p>
      <w:pPr>
        <w:spacing w:after="140" w:before="60" w:line="272"/>
      </w:pPr>
      <w:r>
        <w:rPr>
          <w:b/>
          <w:bCs/>
          <w:color w:val="1D9E75"/>
        </w:rPr>
        <w:t xml:space="preserve">Conclusion : </w:t>
      </w:r>
      <w:r>
        <w:rPr>
          <w:i/>
          <w:iCs/>
        </w:rPr>
        <w:t xml:space="preserve">Rapprochement correct après prise en compte des agios. Anomalie non significative.</w:t>
      </w:r>
    </w:p>
    <w:p>
      <w:pPr>
        <w:pBdr>
          <w:bottom w:val="single" w:color="DDDDDD" w:sz="4" w:space="3"/>
        </w:pBdr>
        <w:spacing w:after="100" w:before="240"/>
      </w:pPr>
      <w:r>
        <w:rPr>
          <w:b/>
          <w:bCs/>
          <w:color w:val="FFFFFF"/>
          <w:sz w:val="19"/>
          <w:szCs w:val="19"/>
          <w:shd w:fill="085041" w:val="clear"/>
        </w:rPr>
        <w:t xml:space="preserve"> DA-3.D </w:t>
      </w:r>
      <w:r>
        <w:rPr>
          <w:b/>
          <w:bCs/>
          <w:color w:val="085041"/>
          <w:sz w:val="24"/>
          <w:szCs w:val="24"/>
        </w:rPr>
        <w:t xml:space="preserve">  Note sur l'échantillonnage</w:t>
      </w:r>
    </w:p>
    <w:p>
      <w:pPr>
        <w:spacing w:after="120" w:line="276"/>
      </w:pPr>
      <w:r>
        <w:t xml:space="preserve">Les circularisations clients et fournisseurs portent sur un échantillon sélectionné par jugement, en priorité sur les soldes les plus élevés et les comptes à risque (créances anciennes). La sélection est documentée et reproductible.</w:t>
      </w:r>
    </w:p>
    <w:p>
      <w:r>
        <w:br w:type="page"/>
      </w:r>
    </w:p>
    <w:p>
      <w:pPr>
        <w:pStyle w:val="Heading2"/>
      </w:pPr>
      <w:r>
        <w:t xml:space="preserve">Phase 4 — Travaux de fin de mission</w:t>
      </w:r>
    </w:p>
    <w:p>
      <w:pPr>
        <w:pBdr>
          <w:bottom w:val="single" w:color="DDDDDD" w:sz="4" w:space="3"/>
        </w:pBdr>
        <w:spacing w:after="100" w:before="240"/>
      </w:pPr>
      <w:r>
        <w:rPr>
          <w:b/>
          <w:bCs/>
          <w:color w:val="FFFFFF"/>
          <w:sz w:val="19"/>
          <w:szCs w:val="19"/>
          <w:shd w:fill="085041" w:val="clear"/>
        </w:rPr>
        <w:t xml:space="preserve"> DA-4.1 </w:t>
      </w:r>
      <w:r>
        <w:rPr>
          <w:b/>
          <w:bCs/>
          <w:color w:val="085041"/>
          <w:sz w:val="24"/>
          <w:szCs w:val="24"/>
        </w:rPr>
        <w:t xml:space="preserve">  Événements postérieurs</w:t>
      </w:r>
    </w:p>
    <w:p>
      <w:pPr>
        <w:spacing w:after="120" w:line="276"/>
      </w:pPr>
      <w:r>
        <w:t xml:space="preserve">Aucun événement survenu entre le 31/12/2025 et la date du rapport n'est de nature à remettre en cause les comptes, hormis les éléments de cut-off déjà identifiés.</w:t>
      </w:r>
    </w:p>
    <w:p>
      <w:pPr>
        <w:pBdr>
          <w:bottom w:val="single" w:color="DDDDDD" w:sz="4" w:space="3"/>
        </w:pBdr>
        <w:spacing w:after="100" w:before="240"/>
      </w:pPr>
      <w:r>
        <w:rPr>
          <w:b/>
          <w:bCs/>
          <w:color w:val="FFFFFF"/>
          <w:sz w:val="19"/>
          <w:szCs w:val="19"/>
          <w:shd w:fill="085041" w:val="clear"/>
        </w:rPr>
        <w:t xml:space="preserve"> DA-4.2 </w:t>
      </w:r>
      <w:r>
        <w:rPr>
          <w:b/>
          <w:bCs/>
          <w:color w:val="085041"/>
          <w:sz w:val="24"/>
          <w:szCs w:val="24"/>
        </w:rPr>
        <w:t xml:space="preserve">  Continuité d'exploitation</w:t>
      </w:r>
    </w:p>
    <w:p>
      <w:pPr>
        <w:spacing w:after="120" w:line="276"/>
      </w:pPr>
      <w:r>
        <w:t xml:space="preserve">La société est bénéficiaire, sa trésorerie est positive et le financement sollicité renforcerait sa structure. Aucun indice ne remet en cause la continuité d'exploitation.</w:t>
      </w:r>
    </w:p>
    <w:p>
      <w:pPr>
        <w:pBdr>
          <w:bottom w:val="single" w:color="DDDDDD" w:sz="4" w:space="3"/>
        </w:pBdr>
        <w:spacing w:after="100" w:before="240"/>
      </w:pPr>
      <w:r>
        <w:rPr>
          <w:b/>
          <w:bCs/>
          <w:color w:val="FFFFFF"/>
          <w:sz w:val="19"/>
          <w:szCs w:val="19"/>
          <w:shd w:fill="085041" w:val="clear"/>
        </w:rPr>
        <w:t xml:space="preserve"> DA-4.3 </w:t>
      </w:r>
      <w:r>
        <w:rPr>
          <w:b/>
          <w:bCs/>
          <w:color w:val="085041"/>
          <w:sz w:val="24"/>
          <w:szCs w:val="24"/>
        </w:rPr>
        <w:t xml:space="preserve">  Lettre d'affirmation</w:t>
      </w:r>
    </w:p>
    <w:p>
      <w:pPr>
        <w:spacing w:after="120" w:line="276"/>
      </w:pPr>
      <w:r>
        <w:t xml:space="preserve">La direction confirme par écrit avoir communiqué l'ensemble des informations et que les comptes ne comportent pas d'autres anomalies connues d'elle.</w:t>
      </w:r>
    </w:p>
    <w:p>
      <w:pPr>
        <w:pBdr>
          <w:bottom w:val="single" w:color="DDDDDD" w:sz="4" w:space="3"/>
        </w:pBdr>
        <w:spacing w:after="100" w:before="240"/>
      </w:pPr>
      <w:r>
        <w:rPr>
          <w:b/>
          <w:bCs/>
          <w:color w:val="FFFFFF"/>
          <w:sz w:val="19"/>
          <w:szCs w:val="19"/>
          <w:shd w:fill="085041" w:val="clear"/>
        </w:rPr>
        <w:t xml:space="preserve"> DA-4.4 </w:t>
      </w:r>
      <w:r>
        <w:rPr>
          <w:b/>
          <w:bCs/>
          <w:color w:val="085041"/>
          <w:sz w:val="24"/>
          <w:szCs w:val="24"/>
        </w:rPr>
        <w:t xml:space="preserve">  Synthèse des anomalies</w:t>
      </w:r>
    </w:p>
    <w:p>
      <w:pPr>
        <w:spacing w:after="120" w:line="276"/>
      </w:pPr>
      <w:r>
        <w:t xml:space="preserve">Récapitulatif des anomalies relevées et de leur effet sur le résultat (toutes dans le sens d'une surévaluation)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60"/>
        <w:gridCol w:w="1400"/>
        <w:gridCol w:w="1500"/>
        <w:gridCol w:w="1500"/>
        <w:gridCol w:w="1200"/>
      </w:tblGrid>
      <w:tr>
        <w:trPr>
          <w:tblHeader/>
        </w:trPr>
        <w:tc>
          <w:tcPr>
            <w:tcW w:type="dxa" w:w="7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Réf</w:t>
            </w:r>
          </w:p>
        </w:tc>
        <w:tc>
          <w:tcPr>
            <w:tcW w:type="dxa" w:w="306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Anomalie</w:t>
            </w:r>
          </w:p>
        </w:tc>
        <w:tc>
          <w:tcPr>
            <w:tcW w:type="dxa" w:w="14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Cycle</w:t>
            </w:r>
          </w:p>
        </w:tc>
        <w:tc>
          <w:tcPr>
            <w:tcW w:type="dxa" w:w="15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Assertion</w:t>
            </w:r>
          </w:p>
        </w:tc>
        <w:tc>
          <w:tcPr>
            <w:tcW w:type="dxa" w:w="15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Montant</w:t>
            </w:r>
          </w:p>
        </w:tc>
        <w:tc>
          <w:tcPr>
            <w:tcW w:type="dxa" w:w="12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Remontée ?</w:t>
            </w:r>
          </w:p>
        </w:tc>
      </w:tr>
      <w:tr>
        <w:tc>
          <w:tcPr>
            <w:tcW w:type="dxa" w:w="7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A1</w:t>
            </w:r>
          </w:p>
        </w:tc>
        <w:tc>
          <w:tcPr>
            <w:tcW w:type="dxa" w:w="30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Vente comptabilisée d'avance (cut-off)</w:t>
            </w:r>
          </w:p>
        </w:tc>
        <w:tc>
          <w:tcPr>
            <w:tcW w:type="dxa" w:w="1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Ventes</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Séparation</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1 800 000</w:t>
            </w:r>
          </w:p>
        </w:tc>
        <w:tc>
          <w:tcPr>
            <w:tcW w:type="dxa" w:w="12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Oui</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A2</w:t>
            </w:r>
          </w:p>
        </w:tc>
        <w:tc>
          <w:tcPr>
            <w:tcW w:type="dxa" w:w="3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Facture d'achat non parvenue</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Achats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Exhaustivité</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right"/>
            </w:pPr>
            <w:r>
              <w:rPr>
                <w:sz w:val="19"/>
                <w:szCs w:val="19"/>
              </w:rPr>
              <w:t xml:space="preserve">2 400 000</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Oui</w:t>
            </w:r>
          </w:p>
        </w:tc>
      </w:tr>
      <w:tr>
        <w:tc>
          <w:tcPr>
            <w:tcW w:type="dxa" w:w="7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A3</w:t>
            </w:r>
          </w:p>
        </w:tc>
        <w:tc>
          <w:tcPr>
            <w:tcW w:type="dxa" w:w="30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Dépréciation clients insuffisante</w:t>
            </w:r>
          </w:p>
        </w:tc>
        <w:tc>
          <w:tcPr>
            <w:tcW w:type="dxa" w:w="14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Ventes</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Évaluation</w:t>
            </w:r>
          </w:p>
        </w:tc>
        <w:tc>
          <w:tcPr>
            <w:tcW w:type="dxa" w:w="15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sz w:val="19"/>
                <w:szCs w:val="19"/>
              </w:rPr>
              <w:t xml:space="preserve">1 500 000</w:t>
            </w:r>
          </w:p>
        </w:tc>
        <w:tc>
          <w:tcPr>
            <w:tcW w:type="dxa" w:w="12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Oui</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A4</w:t>
            </w:r>
          </w:p>
        </w:tc>
        <w:tc>
          <w:tcPr>
            <w:tcW w:type="dxa" w:w="3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Agios non comptabilisés</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Trésorerie</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Exhaustivité</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right"/>
            </w:pPr>
            <w:r>
              <w:rPr>
                <w:sz w:val="19"/>
                <w:szCs w:val="19"/>
              </w:rPr>
              <w:t xml:space="preserve">150 000</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Non</w:t>
            </w:r>
          </w:p>
        </w:tc>
      </w:tr>
    </w:tbl>
    <w:p>
      <w:pPr>
        <w:spacing w:after="120" w:line="276"/>
      </w:pPr>
      <w:r>
        <w:t xml:space="preserve">Cumul des anomalies au-dessus du seuil de remontée (A1 + A2 + A3) = </w:t>
      </w:r>
      <w:r>
        <w:rPr>
          <w:b/>
          <w:bCs/>
        </w:rPr>
        <w:t xml:space="preserve">5 700 000 FDJ</w:t>
      </w:r>
      <w:r>
        <w:t xml:space="preserve">, supérieur au seuil de signification global de 4 000 000 FDJ.</w:t>
      </w:r>
    </w:p>
    <w:p>
      <w:pPr>
        <w:pBdr>
          <w:left w:val="single" w:color="E8A020" w:sz="18" w:space="12"/>
        </w:pBdr>
        <w:spacing w:after="140" w:before="80" w:line="272"/>
        <w:ind w:left="240"/>
      </w:pPr>
      <w:r>
        <w:rPr>
          <w:b/>
          <w:bCs/>
          <w:color w:val="9A6A10"/>
        </w:rPr>
        <w:t xml:space="preserve">Anomalie détectée — </w:t>
      </w:r>
      <w:r>
        <w:t xml:space="preserve">Le cumul des anomalies dépasse le seuil de signification global. Les comptes, en l'état, ne donnent pas une image fidèle : le résultat est surévalué d'environ 5 700 000 FDJ.</w:t>
      </w:r>
    </w:p>
    <w:p>
      <w:r>
        <w:br w:type="page"/>
      </w:r>
    </w:p>
    <w:p>
      <w:pPr>
        <w:pStyle w:val="Heading2"/>
      </w:pPr>
      <w:r>
        <w:t xml:space="preserve">Phase 5 — Opinion et rapport</w:t>
      </w:r>
    </w:p>
    <w:p>
      <w:pPr>
        <w:pBdr>
          <w:bottom w:val="single" w:color="DDDDDD" w:sz="4" w:space="3"/>
        </w:pBdr>
        <w:spacing w:after="100" w:before="240"/>
      </w:pPr>
      <w:r>
        <w:rPr>
          <w:b/>
          <w:bCs/>
          <w:color w:val="FFFFFF"/>
          <w:sz w:val="19"/>
          <w:szCs w:val="19"/>
          <w:shd w:fill="085041" w:val="clear"/>
        </w:rPr>
        <w:t xml:space="preserve"> DA-5.1 </w:t>
      </w:r>
      <w:r>
        <w:rPr>
          <w:b/>
          <w:bCs/>
          <w:color w:val="085041"/>
          <w:sz w:val="24"/>
          <w:szCs w:val="24"/>
        </w:rPr>
        <w:t xml:space="preserve">  Formation de l'opinion</w:t>
      </w:r>
    </w:p>
    <w:p>
      <w:pPr>
        <w:spacing w:after="120" w:line="276"/>
      </w:pPr>
      <w:r>
        <w:t xml:space="preserve">La décision dépend de la réaction de la direction face aux anomalies relevées. Deux branches sont possibles :</w:t>
      </w:r>
    </w:p>
    <w:p>
      <w:pPr>
        <w:pStyle w:val="Heading3"/>
      </w:pPr>
      <w:r>
        <w:t xml:space="preserve">Branche 1 — La direction corrige les comptes (cas de référence)</w:t>
      </w:r>
    </w:p>
    <w:p>
      <w:pPr>
        <w:spacing w:after="120" w:line="276"/>
      </w:pPr>
      <w:r>
        <w:t xml:space="preserve">La direction passe les écritures de correction A1, A2 et A3. Après correction, seule subsiste l'anomalie A4 (150 000), non significative. Les comptes corrigés donnent une image fidèle.</w:t>
      </w:r>
    </w:p>
    <w:p>
      <w:pPr>
        <w:spacing w:after="120" w:line="276"/>
      </w:pPr>
      <w:r>
        <w:rPr>
          <w:b/>
          <w:bCs/>
          <w:color w:val="1D9E75"/>
        </w:rPr>
        <w:t xml:space="preserve">Opinion : </w:t>
      </w:r>
      <w:r>
        <w:rPr>
          <w:b/>
          <w:bCs/>
        </w:rPr>
        <w:t xml:space="preserve">sans réserve.</w:t>
      </w:r>
    </w:p>
    <w:p>
      <w:pPr>
        <w:pStyle w:val="Heading3"/>
      </w:pPr>
      <w:r>
        <w:t xml:space="preserve">Branche 2 — La direction refuse de corriger</w:t>
      </w:r>
    </w:p>
    <w:p>
      <w:pPr>
        <w:spacing w:after="120" w:line="276"/>
      </w:pPr>
      <w:r>
        <w:t xml:space="preserve">Le cumul des anomalies (5 700 000) dépasse le seuil global. Les anomalies sont toutefois identifiées et circonscrites à trois postes précis (elles ne sont pas généralisées à l'ensemble des comptes).</w:t>
      </w:r>
    </w:p>
    <w:p>
      <w:pPr>
        <w:spacing w:after="120" w:line="276"/>
      </w:pPr>
      <w:r>
        <w:rPr>
          <w:b/>
          <w:bCs/>
          <w:color w:val="9A6A10"/>
        </w:rPr>
        <w:t xml:space="preserve">Opinion : </w:t>
      </w:r>
      <w:r>
        <w:rPr>
          <w:b/>
          <w:bCs/>
        </w:rPr>
        <w:t xml:space="preserve">avec réserve pour désaccord</w:t>
      </w:r>
      <w:r>
        <w:t xml:space="preserve"> (le résultat et l'actif net sont surévalués d'environ 5 700 000 FDJ).</w:t>
      </w:r>
    </w:p>
    <w:p>
      <w:pPr>
        <w:pBdr>
          <w:left w:val="single" w:color="1D9E75" w:sz="18" w:space="12"/>
        </w:pBdr>
        <w:shd w:fill="F2F6F4" w:val="clear"/>
        <w:spacing w:after="160" w:before="80" w:line="272"/>
        <w:ind w:left="240"/>
      </w:pPr>
      <w:r>
        <w:rPr>
          <w:b/>
          <w:bCs/>
          <w:color w:val="085041"/>
        </w:rPr>
        <w:t xml:space="preserve">Probare — </w:t>
      </w:r>
      <w:r>
        <w:t xml:space="preserve">C'est exactement la matrice d'opinion de Probare : gravité (montant vs seuil) croisée avec étendue (circonscrit vs généralisé). Ici, significatif mais circonscrit → réserve ; significatif et généralisé aurait conduit au refus.</w:t>
      </w:r>
    </w:p>
    <w:p>
      <w:pPr>
        <w:pBdr>
          <w:bottom w:val="single" w:color="DDDDDD" w:sz="4" w:space="3"/>
        </w:pBdr>
        <w:spacing w:after="100" w:before="240"/>
      </w:pPr>
      <w:r>
        <w:rPr>
          <w:b/>
          <w:bCs/>
          <w:color w:val="FFFFFF"/>
          <w:sz w:val="19"/>
          <w:szCs w:val="19"/>
          <w:shd w:fill="085041" w:val="clear"/>
        </w:rPr>
        <w:t xml:space="preserve"> DA-5.2 </w:t>
      </w:r>
      <w:r>
        <w:rPr>
          <w:b/>
          <w:bCs/>
          <w:color w:val="085041"/>
          <w:sz w:val="24"/>
          <w:szCs w:val="24"/>
        </w:rPr>
        <w:t xml:space="preserve">  Rapport d'audit contractuel (extrait, branche 1)</w:t>
      </w:r>
    </w:p>
    <w:p>
      <w:pPr>
        <w:spacing w:after="120" w:line="276"/>
      </w:pPr>
      <w:r>
        <w:t xml:space="preserve">« …Nous avons effectué l'audit des comptes annuels de MARSA Distribution SARL relatifs à l'exercice clos le 31/12/2025. À notre avis, les comptes annuels sont, dans tous leurs aspects significatifs, réguliers et sincères et donnent une image fidèle du résultat de l'exercice écoulé ainsi que de la situation financière et du patrimoine de la société à la fin de cet exercice. Notre audit a été réalisé selon une démarche par les risques… »</w:t>
      </w:r>
    </w:p>
    <w:p>
      <w:r>
        <w:br w:type="page"/>
      </w:r>
    </w:p>
    <w:p>
      <w:pPr>
        <w:pStyle w:val="Heading1"/>
      </w:pPr>
      <w:r>
        <w:t xml:space="preserve">Corrigé et écritures de correction</w:t>
      </w:r>
    </w:p>
    <w:p>
      <w:pPr>
        <w:spacing w:after="120" w:line="276"/>
      </w:pPr>
      <w:r>
        <w:t xml:space="preserve">Pour vérifier votre travail (et celui de Probare), voici les anomalies et les écritures de correction attendues.</w:t>
      </w:r>
    </w:p>
    <w:p>
      <w:pPr>
        <w:pStyle w:val="Heading2"/>
      </w:pPr>
      <w:r>
        <w:t xml:space="preserve">Écritures de correction proposées</w:t>
      </w:r>
    </w:p>
    <w:p>
      <w:pPr>
        <w:pStyle w:val="ListParagraph"/>
        <w:numPr>
          <w:ilvl w:val="0"/>
          <w:numId w:val="3"/>
        </w:numPr>
        <w:spacing w:after="70" w:line="272"/>
      </w:pPr>
      <w:r>
        <w:rPr>
          <w:b/>
          <w:bCs/>
        </w:rPr>
        <w:t xml:space="preserve">A1 — Annulation de la vente anticipée : </w:t>
      </w:r>
      <w:r>
        <w:t xml:space="preserve">débit du compte 707 Ventes pour 1 800 000, crédit du compte 411 Clients pour 1 800 000. La marchandise reste en stock (aucune écriture de stock).</w:t>
      </w:r>
    </w:p>
    <w:p>
      <w:pPr>
        <w:pStyle w:val="ListParagraph"/>
        <w:numPr>
          <w:ilvl w:val="0"/>
          <w:numId w:val="3"/>
        </w:numPr>
        <w:spacing w:after="70" w:line="272"/>
      </w:pPr>
      <w:r>
        <w:rPr>
          <w:b/>
          <w:bCs/>
        </w:rPr>
        <w:t xml:space="preserve">A2 — Facture non parvenue : </w:t>
      </w:r>
      <w:r>
        <w:t xml:space="preserve">débit du compte 607 Achats pour 2 400 000, crédit du compte 408 Fournisseurs — factures non parvenues pour 2 400 000.</w:t>
      </w:r>
    </w:p>
    <w:p>
      <w:pPr>
        <w:pStyle w:val="ListParagraph"/>
        <w:numPr>
          <w:ilvl w:val="0"/>
          <w:numId w:val="3"/>
        </w:numPr>
        <w:spacing w:after="70" w:line="272"/>
      </w:pPr>
      <w:r>
        <w:rPr>
          <w:b/>
          <w:bCs/>
        </w:rPr>
        <w:t xml:space="preserve">A3 — Complément de dépréciation : </w:t>
      </w:r>
      <w:r>
        <w:t xml:space="preserve">débit du compte 6817 Dotations pour 1 500 000, crédit du compte 491 Dépréciation des comptes clients pour 1 500 000.</w:t>
      </w:r>
    </w:p>
    <w:p>
      <w:pPr>
        <w:pStyle w:val="ListParagraph"/>
        <w:numPr>
          <w:ilvl w:val="0"/>
          <w:numId w:val="3"/>
        </w:numPr>
        <w:spacing w:after="70" w:line="272"/>
      </w:pPr>
      <w:r>
        <w:rPr>
          <w:b/>
          <w:bCs/>
        </w:rPr>
        <w:t xml:space="preserve">A4 — Agios (facultatif, immatériel) : </w:t>
      </w:r>
      <w:r>
        <w:t xml:space="preserve">débit des charges financières pour 150 000, crédit du compte 512 Banque pour 150 000.</w:t>
      </w:r>
    </w:p>
    <w:p>
      <w:pPr>
        <w:pStyle w:val="Heading2"/>
      </w:pPr>
      <w:r>
        <w:t xml:space="preserve">Effet sur le résultat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tblHeader/>
        </w:trPr>
        <w:tc>
          <w:tcPr>
            <w:tcW w:type="dxa" w:w="556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Élément</w:t>
            </w:r>
          </w:p>
        </w:tc>
        <w:tc>
          <w:tcPr>
            <w:tcW w:type="dxa" w:w="38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Montant (FDJ)</w:t>
            </w:r>
          </w:p>
        </w:tc>
      </w:tr>
      <w:tr>
        <w:tc>
          <w:tcPr>
            <w:tcW w:type="dxa" w:w="55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b/>
                <w:bCs/>
                <w:sz w:val="19"/>
                <w:szCs w:val="19"/>
              </w:rPr>
              <w:t xml:space="preserve">Résultat net publié</w:t>
            </w:r>
          </w:p>
        </w:tc>
        <w:tc>
          <w:tcPr>
            <w:tcW w:type="dxa" w:w="38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b/>
                <w:bCs/>
                <w:sz w:val="19"/>
                <w:szCs w:val="19"/>
              </w:rPr>
              <w:t xml:space="preserve">22 000 000</w:t>
            </w:r>
          </w:p>
        </w:tc>
      </w:tr>
      <w:tr>
        <w:tc>
          <w:tcPr>
            <w:tcW w:type="dxa" w:w="5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b w:val="false"/>
                <w:bCs w:val="false"/>
                <w:sz w:val="19"/>
                <w:szCs w:val="19"/>
              </w:rPr>
              <w:t xml:space="preserve">Correction A1 (vente anticipée)</w:t>
            </w:r>
          </w:p>
        </w:tc>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right"/>
            </w:pPr>
            <w:r>
              <w:rPr>
                <w:b w:val="false"/>
                <w:bCs w:val="false"/>
                <w:sz w:val="19"/>
                <w:szCs w:val="19"/>
              </w:rPr>
              <w:t xml:space="preserve">− 1 800 000</w:t>
            </w:r>
          </w:p>
        </w:tc>
      </w:tr>
      <w:tr>
        <w:tc>
          <w:tcPr>
            <w:tcW w:type="dxa" w:w="55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b w:val="false"/>
                <w:bCs w:val="false"/>
                <w:sz w:val="19"/>
                <w:szCs w:val="19"/>
              </w:rPr>
              <w:t xml:space="preserve">Correction A2 (facture non parvenue)</w:t>
            </w:r>
          </w:p>
        </w:tc>
        <w:tc>
          <w:tcPr>
            <w:tcW w:type="dxa" w:w="38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b w:val="false"/>
                <w:bCs w:val="false"/>
                <w:sz w:val="19"/>
                <w:szCs w:val="19"/>
              </w:rPr>
              <w:t xml:space="preserve">− 2 400 000</w:t>
            </w:r>
          </w:p>
        </w:tc>
      </w:tr>
      <w:tr>
        <w:tc>
          <w:tcPr>
            <w:tcW w:type="dxa" w:w="5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b w:val="false"/>
                <w:bCs w:val="false"/>
                <w:sz w:val="19"/>
                <w:szCs w:val="19"/>
              </w:rPr>
              <w:t xml:space="preserve">Correction A3 (dépréciation)</w:t>
            </w:r>
          </w:p>
        </w:tc>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right"/>
            </w:pPr>
            <w:r>
              <w:rPr>
                <w:b w:val="false"/>
                <w:bCs w:val="false"/>
                <w:sz w:val="19"/>
                <w:szCs w:val="19"/>
              </w:rPr>
              <w:t xml:space="preserve">− 1 500 000</w:t>
            </w:r>
          </w:p>
        </w:tc>
      </w:tr>
      <w:tr>
        <w:tc>
          <w:tcPr>
            <w:tcW w:type="dxa" w:w="55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b/>
                <w:bCs/>
                <w:sz w:val="19"/>
                <w:szCs w:val="19"/>
              </w:rPr>
              <w:t xml:space="preserve">Résultat net corrigé</w:t>
            </w:r>
          </w:p>
        </w:tc>
        <w:tc>
          <w:tcPr>
            <w:tcW w:type="dxa" w:w="38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right"/>
            </w:pPr>
            <w:r>
              <w:rPr>
                <w:b/>
                <w:bCs/>
                <w:sz w:val="19"/>
                <w:szCs w:val="19"/>
              </w:rPr>
              <w:t xml:space="preserve">16 300 000</w:t>
            </w:r>
          </w:p>
        </w:tc>
      </w:tr>
    </w:tbl>
    <w:p>
      <w:pPr>
        <w:spacing w:after="120" w:line="276"/>
      </w:pPr>
      <w:r>
        <w:t xml:space="preserve">L'anomalie A4 (150 000), inférieure au seuil de remontée, n'a pas d'incidence sur l'opinion.</w:t>
      </w:r>
    </w:p>
    <w:p>
      <w:pPr>
        <w:pStyle w:val="Heading2"/>
      </w:pPr>
      <w:r>
        <w:t xml:space="preserve">Ce que le cas illustre pour Probare</w:t>
      </w:r>
    </w:p>
    <w:p>
      <w:pPr>
        <w:pStyle w:val="ListParagraph"/>
        <w:numPr>
          <w:ilvl w:val="0"/>
          <w:numId w:val="2"/>
        </w:numPr>
        <w:spacing w:after="60" w:line="270"/>
      </w:pPr>
      <w:r>
        <w:t xml:space="preserve">La chaîne complète : import des données → seuil → risques → contrôles par cycle → registre des anomalies → cumul vs seuil → opinion. C'est le fil conducteur de votre logiciel.</w:t>
      </w:r>
    </w:p>
    <w:p>
      <w:pPr>
        <w:pStyle w:val="ListParagraph"/>
        <w:numPr>
          <w:ilvl w:val="0"/>
          <w:numId w:val="2"/>
        </w:numPr>
        <w:spacing w:after="60" w:line="270"/>
      </w:pPr>
      <w:r>
        <w:t xml:space="preserve">Le rôle du seuil comme curseur : il décide quelles anomalies remontent (A1-A3) et lesquelles non (A4).</w:t>
      </w:r>
    </w:p>
    <w:p>
      <w:pPr>
        <w:pStyle w:val="ListParagraph"/>
        <w:numPr>
          <w:ilvl w:val="0"/>
          <w:numId w:val="2"/>
        </w:numPr>
        <w:spacing w:after="60" w:line="270"/>
      </w:pPr>
      <w:r>
        <w:t xml:space="preserve">La distinction calcul / jugement : les montants (cumul, écarts, résultat corrigé) sont déterministes ; la qualification des anomalies et le sens de l'opinion relèvent du jugement assisté.</w:t>
      </w:r>
    </w:p>
    <w:p>
      <w:pPr>
        <w:pStyle w:val="ListParagraph"/>
        <w:numPr>
          <w:ilvl w:val="0"/>
          <w:numId w:val="2"/>
        </w:numPr>
        <w:spacing w:after="60" w:line="270"/>
      </w:pPr>
      <w:r>
        <w:t xml:space="preserve">Les deux branches d'opinion, pilotées par une même matrice gravité × étendue.</w:t>
      </w:r>
    </w:p>
    <w:p>
      <w:r>
        <w:br w:type="page"/>
      </w:r>
    </w:p>
    <w:p>
      <w:pPr>
        <w:pStyle w:val="Heading1"/>
      </w:pPr>
      <w:r>
        <w:t xml:space="preserve">Index du dossier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Réf</w:t>
            </w:r>
          </w:p>
        </w:tc>
        <w:tc>
          <w:tcPr>
            <w:tcW w:type="dxa" w:w="7160"/>
            <w:tcBorders>
              <w:top w:val="single" w:color="CCCCCC" w:sz="1"/>
              <w:left w:val="single" w:color="CCCCCC" w:sz="1"/>
              <w:bottom w:val="single" w:color="CCCCCC" w:sz="1"/>
              <w:right w:val="single" w:color="CCCCCC" w:sz="1"/>
            </w:tcBorders>
            <w:shd w:fill="085041" w:val="clear"/>
            <w:tcMar>
              <w:top w:type="dxa" w:w="60"/>
              <w:left w:type="dxa" w:w="100"/>
              <w:bottom w:type="dxa" w:w="60"/>
              <w:right w:type="dxa" w:w="100"/>
            </w:tcMar>
            <w:vAlign w:val="center"/>
          </w:tcPr>
          <w:p>
            <w:r>
              <w:rPr>
                <w:b/>
                <w:bCs/>
                <w:color w:val="FFFFFF"/>
                <w:sz w:val="19"/>
                <w:szCs w:val="19"/>
              </w:rPr>
              <w:t xml:space="preserve">Pièce</w:t>
            </w:r>
          </w:p>
        </w:tc>
      </w:tr>
      <w:tr>
        <w:tc>
          <w:tcPr>
            <w:tcW w:type="dxa" w:w="22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DP-1 à DP-5</w:t>
            </w:r>
          </w:p>
        </w:tc>
        <w:tc>
          <w:tcPr>
            <w:tcW w:type="dxa" w:w="71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Dossier permanent (identité, statuts, organisation, cycles, contrats)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DA-0.1 / 0.2</w:t>
            </w:r>
          </w:p>
        </w:tc>
        <w:tc>
          <w:tcPr>
            <w:tcW w:type="dxa" w:w="7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Acceptation et lettre de mission</w:t>
            </w:r>
          </w:p>
        </w:tc>
      </w:tr>
      <w:tr>
        <w:tc>
          <w:tcPr>
            <w:tcW w:type="dxa" w:w="22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DA-1.1 à 1.6</w:t>
            </w:r>
          </w:p>
        </w:tc>
        <w:tc>
          <w:tcPr>
            <w:tcW w:type="dxa" w:w="71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Prise de connaissance, revue analytique, seuil, risques, plan, programme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DA-2.1</w:t>
            </w:r>
          </w:p>
        </w:tc>
        <w:tc>
          <w:tcPr>
            <w:tcW w:type="dxa" w:w="7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Synthèse du contrôle interne</w:t>
            </w:r>
          </w:p>
        </w:tc>
      </w:tr>
      <w:tr>
        <w:tc>
          <w:tcPr>
            <w:tcW w:type="dxa" w:w="22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DA-3.A / B / C / D</w:t>
            </w:r>
          </w:p>
        </w:tc>
        <w:tc>
          <w:tcPr>
            <w:tcW w:type="dxa" w:w="71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Contrôle des comptes : ventes-clients, achats-fournisseurs, trésorerie, échantillonnage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DA-4.1 à 4.4</w:t>
            </w:r>
          </w:p>
        </w:tc>
        <w:tc>
          <w:tcPr>
            <w:tcW w:type="dxa" w:w="7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sz w:val="19"/>
                <w:szCs w:val="19"/>
              </w:rPr>
              <w:t xml:space="preserve">Événements postérieurs, continuité, lettre d'affirmation, synthèse des anomalies</w:t>
            </w:r>
          </w:p>
        </w:tc>
      </w:tr>
      <w:tr>
        <w:tc>
          <w:tcPr>
            <w:tcW w:type="dxa" w:w="220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DA-5.1 / 5.2</w:t>
            </w:r>
          </w:p>
        </w:tc>
        <w:tc>
          <w:tcPr>
            <w:tcW w:type="dxa" w:w="7160"/>
            <w:tcBorders>
              <w:top w:val="single" w:color="CCCCCC" w:sz="1"/>
              <w:left w:val="single" w:color="CCCCCC" w:sz="1"/>
              <w:bottom w:val="single" w:color="CCCCCC" w:sz="1"/>
              <w:right w:val="single" w:color="CCCCCC" w:sz="1"/>
            </w:tcBorders>
            <w:shd w:fill="F2F6F4" w:val="clear"/>
            <w:tcMar>
              <w:top w:type="dxa" w:w="50"/>
              <w:left w:type="dxa" w:w="100"/>
              <w:bottom w:type="dxa" w:w="50"/>
              <w:right w:type="dxa" w:w="100"/>
            </w:tcMar>
            <w:vAlign w:val="center"/>
          </w:tcPr>
          <w:p>
            <w:pPr>
              <w:jc w:val="left"/>
            </w:pPr>
            <w:r>
              <w:rPr>
                <w:sz w:val="19"/>
                <w:szCs w:val="19"/>
              </w:rPr>
              <w:t xml:space="preserve">Formation de l'opinion et rapport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spacing w:after="60"/>
      <w:jc w:val="right"/>
    </w:pPr>
    <w:r>
      <w:rPr>
        <w:color w:val="555555"/>
        <w:sz w:val="15"/>
        <w:szCs w:val="15"/>
      </w:rPr>
      <w:t xml:space="preserve">Dossier d'audit · MARSA Distribution SARL · exercice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1D9E75"/>
      </w:rPr>
    </w:lvl>
  </w:abstractNum>
  <w:abstractNum w:abstractNumId="3" w15:restartNumberingAfterBreak="0">
    <w:multiLevelType w:val="hybridMultilevel"/>
    <w:lvl w:ilvl="0" w15:tentative="1">
      <w:start w:val="1"/>
      <w:numFmt w:val="decimal"/>
      <w:lvlText w:val="%1."/>
      <w:lvlJc w:val="left"/>
      <w:pPr>
        <w:ind w:left="540" w:hanging="300"/>
      </w:pPr>
      <w:rPr>
        <w:b/>
        <w:bCs/>
        <w:color w:val="085041"/>
      </w:rPr>
    </w:lvl>
  </w:abstractNum>
  <w:abstractNum w:abstractNumId="4" w15:restartNumberingAfterBreak="0">
    <w:multiLevelType w:val="hybridMultilevel"/>
    <w:lvl w:ilvl="0" w15:tentative="1">
      <w:start w:val="1"/>
      <w:numFmt w:val="decimal"/>
      <w:lvlText w:val="%1."/>
      <w:lvlJc w:val="left"/>
      <w:pPr>
        <w:ind w:left="540" w:hanging="300"/>
      </w:pPr>
      <w:rPr>
        <w:b/>
        <w:bCs/>
        <w:color w:val="085041"/>
      </w:rPr>
    </w:lvl>
  </w:abstractNum>
  <w:abstractNum w:abstractNumId="5" w15:restartNumberingAfterBreak="0">
    <w:multiLevelType w:val="hybridMultilevel"/>
    <w:lvl w:ilvl="0" w15:tentative="1">
      <w:start w:val="1"/>
      <w:numFmt w:val="decimal"/>
      <w:lvlText w:val="%1."/>
      <w:lvlJc w:val="left"/>
      <w:pPr>
        <w:ind w:left="540" w:hanging="300"/>
      </w:pPr>
      <w:rPr>
        <w:b/>
        <w:bCs/>
        <w:color w:val="085041"/>
      </w:rPr>
    </w:lvl>
  </w:abstractNum>
  <w:abstractNum w:abstractNumId="6" w15:restartNumberingAfterBreak="0">
    <w:multiLevelType w:val="hybridMultilevel"/>
    <w:lvl w:ilvl="0" w15:tentative="1">
      <w:start w:val="1"/>
      <w:numFmt w:val="decimal"/>
      <w:lvlText w:val="%1."/>
      <w:lvlJc w:val="left"/>
      <w:pPr>
        <w:ind w:left="540" w:hanging="300"/>
      </w:pPr>
      <w:rPr>
        <w:b/>
        <w:bCs/>
        <w:color w:val="085041"/>
      </w:rPr>
    </w:lvl>
  </w:abstractNum>
  <w:abstractNum w:abstractNumId="7" w15:restartNumberingAfterBreak="0">
    <w:multiLevelType w:val="hybridMultilevel"/>
    <w:lvl w:ilvl="0" w15:tentative="1">
      <w:start w:val="1"/>
      <w:numFmt w:val="decimal"/>
      <w:lvlText w:val="%1."/>
      <w:lvlJc w:val="left"/>
      <w:pPr>
        <w:ind w:left="540" w:hanging="300"/>
      </w:pPr>
      <w:rPr>
        <w:b/>
        <w:bCs/>
        <w:color w:val="085041"/>
      </w:rPr>
    </w:lvl>
  </w:abstractNum>
  <w:abstractNum w:abstractNumId="8" w15:restartNumberingAfterBreak="0">
    <w:multiLevelType w:val="hybridMultilevel"/>
    <w:lvl w:ilvl="0" w15:tentative="1">
      <w:start w:val="1"/>
      <w:numFmt w:val="decimal"/>
      <w:lvlText w:val="%1."/>
      <w:lvlJc w:val="left"/>
      <w:pPr>
        <w:ind w:left="540" w:hanging="300"/>
      </w:pPr>
      <w:rPr>
        <w:b/>
        <w:bCs/>
        <w:color w:val="085041"/>
      </w:rPr>
    </w:lvl>
  </w:abstractNum>
  <w:abstractNum w:abstractNumId="9" w15:restartNumberingAfterBreak="0">
    <w:multiLevelType w:val="hybridMultilevel"/>
    <w:lvl w:ilvl="0" w15:tentative="1">
      <w:start w:val="1"/>
      <w:numFmt w:val="decimal"/>
      <w:lvlText w:val="%1."/>
      <w:lvlJc w:val="left"/>
      <w:pPr>
        <w:ind w:left="540" w:hanging="300"/>
      </w:pPr>
      <w:rPr>
        <w:b/>
        <w:bCs/>
        <w:color w:val="085041"/>
      </w:rPr>
    </w:lvl>
  </w:abstractNum>
  <w:abstractNum w:abstractNumId="10" w15:restartNumberingAfterBreak="0">
    <w:multiLevelType w:val="hybridMultilevel"/>
    <w:lvl w:ilvl="0" w15:tentative="1">
      <w:start w:val="1"/>
      <w:numFmt w:val="decimal"/>
      <w:lvlText w:val="%1."/>
      <w:lvlJc w:val="left"/>
      <w:pPr>
        <w:ind w:left="540" w:hanging="300"/>
      </w:pPr>
      <w:rPr>
        <w:b/>
        <w:bCs/>
        <w:color w:val="08504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8" w:space="4"/>
      </w:pBdr>
      <w:spacing w:after="160" w:before="320"/>
      <w:outlineLvl w:val="0"/>
    </w:pPr>
    <w:rPr>
      <w:rFonts w:ascii="Arial" w:cs="Arial" w:eastAsia="Arial" w:hAnsi="Arial"/>
      <w:b/>
      <w:bCs/>
      <w:color w:val="08504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6B4E"/>
      <w:sz w:val="25"/>
      <w:szCs w:val="25"/>
    </w:rPr>
  </w:style>
  <w:style w:type="paragraph" w:styleId="Heading3">
    <w:name w:val="Heading 3"/>
    <w:basedOn w:val="Normal"/>
    <w:next w:val="Normal"/>
    <w:qFormat/>
    <w:pPr>
      <w:spacing w:after="7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d'audit MARSA Distribution</dc:title>
  <dc:creator>Probare</dc:creator>
  <cp:lastModifiedBy>Un-named</cp:lastModifiedBy>
  <cp:revision>1</cp:revision>
  <dcterms:created xsi:type="dcterms:W3CDTF">2026-06-22T21:08:14.272Z</dcterms:created>
  <dcterms:modified xsi:type="dcterms:W3CDTF">2026-06-22T21:08:14.281Z</dcterms:modified>
</cp:coreProperties>
</file>

<file path=docProps/custom.xml><?xml version="1.0" encoding="utf-8"?>
<Properties xmlns="http://schemas.openxmlformats.org/officeDocument/2006/custom-properties" xmlns:vt="http://schemas.openxmlformats.org/officeDocument/2006/docPropsVTypes"/>
</file>