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B30A8"/>
        </w:rPr>
        <w:t>Comment utiliser Probare</w:t>
      </w:r>
    </w:p>
    <w:p>
      <w:pPr>
        <w:spacing w:after="120"/>
      </w:pPr>
      <w:r>
        <w:rPr>
          <w:b/>
          <w:sz w:val="22"/>
        </w:rPr>
        <w:t>Guide de première utilisation — assistant d'audit IA-first (référentiel NEP / H2A Djibouti)</w:t>
      </w:r>
    </w:p>
    <w:p>
      <w:pPr>
        <w:spacing w:before="80" w:after="80"/>
      </w:pPr>
      <w:r>
        <w:rPr>
          <w:color w:val="C8D0D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3B30A8"/>
          <w:sz w:val="32"/>
        </w:rPr>
        <w:t>1. Ce qu'est Probare (et ce qu'il n'est pas)</w:t>
      </w:r>
    </w:p>
    <w:p>
      <w:pPr>
        <w:spacing w:after="120"/>
      </w:pPr>
      <w:r>
        <w:rPr>
          <w:sz w:val="22"/>
        </w:rPr>
        <w:t>Probare vous accompagne sur toute une mission d'audit contractuel, du cadrage à la génération du dossier de travail. Il repose sur trois règles d'or :</w:t>
      </w:r>
    </w:p>
    <w:p>
      <w:pPr>
        <w:pStyle w:val="ListNumber"/>
      </w:pPr>
      <w:r>
        <w:rPr>
          <w:b/>
          <w:sz w:val="22"/>
        </w:rPr>
        <w:t>Le logiciel calcule.</w:t>
      </w:r>
      <w:r>
        <w:rPr>
          <w:sz w:val="22"/>
        </w:rPr>
        <w:t xml:space="preserve"> Tous les chiffres (équilibres, écarts, ratios, seuils, cumuls) sont produits par du code déterministe. Chaque valeur est traçable jusqu'à sa cellule d'origine dans vos fichiers importés.</w:t>
      </w:r>
    </w:p>
    <w:p>
      <w:pPr>
        <w:pStyle w:val="ListNumber"/>
      </w:pPr>
      <w:r>
        <w:rPr>
          <w:b/>
          <w:sz w:val="22"/>
        </w:rPr>
        <w:t>L'IA interprète et rédige.</w:t>
      </w:r>
      <w:r>
        <w:rPr>
          <w:sz w:val="22"/>
        </w:rPr>
        <w:t xml:space="preserve"> Dès qu'une exception est levée, l'IA l'explique, propose des hypothèses, des diligences et un </w:t>
      </w:r>
      <w:r>
        <w:rPr>
          <w:b/>
          <w:sz w:val="22"/>
        </w:rPr>
        <w:t>projet</w:t>
      </w:r>
      <w:r>
        <w:rPr>
          <w:sz w:val="22"/>
        </w:rPr>
        <w:t xml:space="preserve"> de décision. Elle ne produit jamais un montant qui ne vient pas du moteur de calcul.</w:t>
      </w:r>
    </w:p>
    <w:p>
      <w:pPr>
        <w:pStyle w:val="ListNumber"/>
      </w:pPr>
      <w:r>
        <w:rPr>
          <w:b/>
          <w:sz w:val="22"/>
        </w:rPr>
        <w:t>Vous supervisez et signez.</w:t>
      </w:r>
      <w:r>
        <w:rPr>
          <w:sz w:val="22"/>
        </w:rPr>
        <w:t xml:space="preserve"> Aucune décision n'entre au dossier sans votre validation nominative. </w:t>
      </w:r>
      <w:r>
        <w:rPr>
          <w:b/>
          <w:sz w:val="22"/>
        </w:rPr>
        <w:t>Probare ne formule jamais l'opinion d'audit</w:t>
      </w:r>
      <w:r>
        <w:rPr>
          <w:sz w:val="22"/>
        </w:rPr>
        <w:t xml:space="preserve"> : elle reste de votre responsabilité exclusive.</w:t>
      </w:r>
    </w:p>
    <w:p>
      <w:pPr>
        <w:spacing w:after="120"/>
      </w:pPr>
      <w:r>
        <w:rPr>
          <w:sz w:val="22"/>
        </w:rPr>
        <w:t xml:space="preserve">Chaque action (import, contrôle, appel IA, décision, changement d'étape) est inscrite dans le </w:t>
      </w:r>
      <w:r>
        <w:rPr>
          <w:b/>
          <w:sz w:val="22"/>
        </w:rPr>
        <w:t>Journal</w:t>
      </w:r>
      <w:r>
        <w:rPr>
          <w:sz w:val="22"/>
        </w:rPr>
        <w:t>, la piste d'audit de la mission (NEP 230).</w:t>
      </w:r>
    </w:p>
    <w:p>
      <w:pPr>
        <w:spacing w:before="80" w:after="80"/>
      </w:pPr>
      <w:r>
        <w:rPr>
          <w:color w:val="C8D0D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3B30A8"/>
          <w:sz w:val="32"/>
        </w:rPr>
        <w:t>2. Avant la première utilisation</w:t>
      </w:r>
    </w:p>
    <w:p>
      <w:pPr>
        <w:pStyle w:val="Heading2"/>
      </w:pPr>
      <w:r>
        <w:rPr>
          <w:color w:val="4F46E5"/>
          <w:sz w:val="26"/>
        </w:rPr>
        <w:t>2.1 Clé API Claude (fonctions IA)</w:t>
      </w:r>
    </w:p>
    <w:p>
      <w:pPr>
        <w:spacing w:after="120"/>
      </w:pPr>
      <w:r>
        <w:rPr>
          <w:sz w:val="22"/>
        </w:rPr>
        <w:t>Les fonctions IA nécessitent une clé API Anthropic :</w:t>
      </w:r>
    </w:p>
    <w:p>
      <w:pPr>
        <w:pStyle w:val="ListNumber"/>
      </w:pPr>
      <w:r>
        <w:rPr>
          <w:sz w:val="22"/>
        </w:rPr>
        <w:t xml:space="preserve">Copiez le fichier </w:t>
      </w:r>
      <w:r>
        <w:rPr>
          <w:rFonts w:ascii="Courier New" w:hAnsi="Courier New"/>
          <w:color w:val="1E3A5F"/>
          <w:sz w:val="20"/>
        </w:rPr>
        <w:t>.env.example</w:t>
      </w:r>
      <w:r>
        <w:rPr>
          <w:sz w:val="22"/>
        </w:rPr>
        <w:t xml:space="preserve"> en </w:t>
      </w:r>
      <w:r>
        <w:rPr>
          <w:rFonts w:ascii="Courier New" w:hAnsi="Courier New"/>
          <w:color w:val="1E3A5F"/>
          <w:sz w:val="20"/>
        </w:rPr>
        <w:t>.env</w:t>
      </w:r>
      <w:r>
        <w:rPr>
          <w:sz w:val="22"/>
        </w:rPr>
        <w:t xml:space="preserve"> à la racine de Probare.</w:t>
      </w:r>
    </w:p>
    <w:p>
      <w:pPr>
        <w:pStyle w:val="ListNumber"/>
      </w:pPr>
      <w:r>
        <w:rPr>
          <w:sz w:val="22"/>
        </w:rPr>
        <w:t xml:space="preserve">Renseignez </w:t>
      </w:r>
      <w:r>
        <w:rPr>
          <w:rFonts w:ascii="Courier New" w:hAnsi="Courier New"/>
          <w:color w:val="1E3A5F"/>
          <w:sz w:val="20"/>
        </w:rPr>
        <w:t>ANTHROPIC_API_KEY=sk-ant-...</w:t>
      </w:r>
      <w:r>
        <w:rPr>
          <w:sz w:val="22"/>
        </w:rPr>
        <w:t xml:space="preserve"> (votre clé).</w:t>
      </w:r>
    </w:p>
    <w:p>
      <w:pPr>
        <w:pStyle w:val="ListNumber"/>
      </w:pPr>
      <w:r>
        <w:rPr>
          <w:sz w:val="22"/>
        </w:rPr>
        <w:t>Redémarrez l'application.</w:t>
      </w:r>
    </w:p>
    <w:p>
      <w:pPr>
        <w:spacing w:after="120"/>
      </w:pPr>
      <w:r>
        <w:rPr>
          <w:sz w:val="22"/>
        </w:rPr>
        <w:t xml:space="preserve">Sans clé, Probare fonctionne en </w:t>
      </w:r>
      <w:r>
        <w:rPr>
          <w:b/>
          <w:sz w:val="22"/>
        </w:rPr>
        <w:t>mode dégradé</w:t>
      </w:r>
      <w:r>
        <w:rPr>
          <w:sz w:val="22"/>
        </w:rPr>
        <w:t xml:space="preserve"> : tous les calculs et contrôles restent disponibles, mais sans interprétation ni rédaction automatique.</w:t>
      </w:r>
    </w:p>
    <w:p>
      <w:pPr>
        <w:pStyle w:val="Heading2"/>
      </w:pPr>
      <w:r>
        <w:rPr>
          <w:color w:val="4F46E5"/>
          <w:sz w:val="26"/>
        </w:rPr>
        <w:t>2.2 Consentement du client (obligatoire pour l'IA)</w:t>
      </w:r>
    </w:p>
    <w:p>
      <w:pPr>
        <w:spacing w:after="120"/>
      </w:pPr>
      <w:r>
        <w:rPr>
          <w:sz w:val="22"/>
        </w:rPr>
        <w:t xml:space="preserve">Aucune donnée n'est envoyée à l'IA sans que la case </w:t>
      </w:r>
      <w:r>
        <w:rPr>
          <w:b/>
          <w:sz w:val="22"/>
        </w:rPr>
        <w:t>« Consentement client »</w:t>
      </w:r>
      <w:r>
        <w:rPr>
          <w:sz w:val="22"/>
        </w:rPr>
        <w:t xml:space="preserve"> soit cochée dans le cadrage de la mission. Obtenez l'accord écrit de votre client avant de l'activer. Le nom du client et son NIF sont pseudonymisés avant tout envoi ; la table de correspondance ne quitte jamais votre machine.</w:t>
      </w:r>
    </w:p>
    <w:p>
      <w:pPr>
        <w:pStyle w:val="Heading2"/>
      </w:pPr>
      <w:r>
        <w:rPr>
          <w:color w:val="4F46E5"/>
          <w:sz w:val="26"/>
        </w:rPr>
        <w:t>2.3 Fiche du cabinet</w:t>
      </w:r>
    </w:p>
    <w:p>
      <w:pPr>
        <w:spacing w:after="120"/>
      </w:pPr>
      <w:r>
        <w:rPr>
          <w:sz w:val="22"/>
        </w:rPr>
        <w:t xml:space="preserve">Ouvrez </w:t>
      </w:r>
      <w:r>
        <w:rPr>
          <w:b/>
          <w:sz w:val="22"/>
        </w:rPr>
        <w:t>Cabinet</w:t>
      </w:r>
      <w:r>
        <w:rPr>
          <w:sz w:val="22"/>
        </w:rPr>
        <w:t xml:space="preserve"> (bas de la barre latérale) et renseignez le nom du cabinet, l'adresse, le numéro d'agrément et le responsable signataire. Ces informations figurent sur les documents générés.</w:t>
      </w:r>
    </w:p>
    <w:p>
      <w:pPr>
        <w:pStyle w:val="Heading2"/>
      </w:pPr>
      <w:r>
        <w:rPr>
          <w:color w:val="4F46E5"/>
          <w:sz w:val="26"/>
        </w:rPr>
        <w:t>2.4 Dossiers permanents (recommandé)</w:t>
      </w:r>
    </w:p>
    <w:p>
      <w:pPr>
        <w:spacing w:after="120"/>
      </w:pPr>
      <w:r>
        <w:rPr>
          <w:sz w:val="22"/>
        </w:rPr>
        <w:t xml:space="preserve">Depuis le </w:t>
      </w:r>
      <w:r>
        <w:rPr>
          <w:b/>
          <w:sz w:val="22"/>
        </w:rPr>
        <w:t>Tableau de bord → Dossiers permanents</w:t>
      </w:r>
      <w:r>
        <w:rPr>
          <w:sz w:val="22"/>
        </w:rPr>
        <w:t>, créez une fiche par client (nom, NIF, secteur, dirigeants) et rattachez-y les documents pluriannuels : statuts, PV d'AG, contrats, rapports antérieurs. Vous pourrez lier chaque mission à un client existant.</w:t>
      </w:r>
    </w:p>
    <w:p>
      <w:pPr>
        <w:spacing w:before="80" w:after="80"/>
      </w:pPr>
      <w:r>
        <w:rPr>
          <w:color w:val="C8D0D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3B30A8"/>
          <w:sz w:val="32"/>
        </w:rPr>
        <w:t>3. Créer une mission</w:t>
      </w:r>
    </w:p>
    <w:p>
      <w:pPr>
        <w:spacing w:after="120"/>
      </w:pPr>
      <w:r>
        <w:rPr>
          <w:sz w:val="22"/>
        </w:rPr>
        <w:t xml:space="preserve">Sur le </w:t>
      </w:r>
      <w:r>
        <w:rPr>
          <w:b/>
          <w:sz w:val="22"/>
        </w:rPr>
        <w:t>Tableau de bord</w:t>
      </w:r>
      <w:r>
        <w:rPr>
          <w:sz w:val="22"/>
        </w:rPr>
        <w:t xml:space="preserve">, cliquez </w:t>
      </w:r>
      <w:r>
        <w:rPr>
          <w:b/>
          <w:sz w:val="22"/>
        </w:rPr>
        <w:t>Nouvelle mission</w:t>
      </w:r>
      <w:r>
        <w:rPr>
          <w:sz w:val="22"/>
        </w:rPr>
        <w:t xml:space="preserve"> et renseignez :</w:t>
      </w:r>
    </w:p>
    <w:p>
      <w:pPr>
        <w:pStyle w:val="ListBullet"/>
      </w:pPr>
      <w:r>
        <w:rPr>
          <w:b/>
          <w:sz w:val="22"/>
        </w:rPr>
        <w:t>Nom de la mission</w:t>
      </w:r>
      <w:r>
        <w:rPr>
          <w:sz w:val="22"/>
        </w:rPr>
        <w:t xml:space="preserve"> et </w:t>
      </w:r>
      <w:r>
        <w:rPr>
          <w:b/>
          <w:sz w:val="22"/>
        </w:rPr>
        <w:t>exercice</w:t>
      </w:r>
      <w:r>
        <w:rPr>
          <w:sz w:val="22"/>
        </w:rPr>
        <w:t xml:space="preserve"> audité (ex. </w:t>
      </w:r>
      <w:r>
        <w:rPr>
          <w:sz w:val="22"/>
        </w:rPr>
        <w:t>« 2025 »</w:t>
      </w:r>
      <w:r>
        <w:rPr>
          <w:sz w:val="22"/>
        </w:rPr>
        <w:t>) ;</w:t>
      </w:r>
    </w:p>
    <w:p>
      <w:pPr>
        <w:pStyle w:val="ListBullet"/>
      </w:pPr>
      <w:r>
        <w:rPr>
          <w:b/>
          <w:sz w:val="22"/>
        </w:rPr>
        <w:t>Client</w:t>
      </w:r>
      <w:r>
        <w:rPr>
          <w:sz w:val="22"/>
        </w:rPr>
        <w:t xml:space="preserve"> et </w:t>
      </w:r>
      <w:r>
        <w:rPr>
          <w:b/>
          <w:sz w:val="22"/>
        </w:rPr>
        <w:t>NIF</w:t>
      </w:r>
      <w:r>
        <w:rPr>
          <w:sz w:val="22"/>
        </w:rPr>
        <w:t xml:space="preserve"> (ou liez un client des dossiers permanents) ;</w:t>
      </w:r>
    </w:p>
    <w:p>
      <w:pPr>
        <w:pStyle w:val="ListBullet"/>
      </w:pPr>
      <w:r>
        <w:rPr>
          <w:b/>
          <w:sz w:val="22"/>
        </w:rPr>
        <w:t>Cycles couverts</w:t>
      </w:r>
      <w:r>
        <w:rPr>
          <w:sz w:val="22"/>
        </w:rPr>
        <w:t xml:space="preserve"> : trésorerie, achats-fournisseurs, ventes-clients, immobilisations, stocks, paie, impôts, capitaux propres. Ne cochez que ce qui entre dans votre périmètre — la liste des documents attendus et les contrôles en découlent ;</w:t>
      </w:r>
    </w:p>
    <w:p>
      <w:pPr>
        <w:pStyle w:val="ListBullet"/>
      </w:pPr>
      <w:r>
        <w:rPr>
          <w:b/>
          <w:sz w:val="22"/>
        </w:rPr>
        <w:t>Consentement client</w:t>
      </w:r>
      <w:r>
        <w:rPr>
          <w:sz w:val="22"/>
        </w:rPr>
        <w:t xml:space="preserve"> pour l'IA (voir § 2.2).</w:t>
      </w:r>
    </w:p>
    <w:p>
      <w:pPr>
        <w:spacing w:after="120"/>
      </w:pPr>
      <w:r>
        <w:rPr>
          <w:sz w:val="22"/>
        </w:rPr>
        <w:t xml:space="preserve">La barre latérale affiche alors les étapes de la mission et votre progression. Les étapes se déverrouillent au fur et à mesure ; vous pouvez toujours </w:t>
      </w:r>
      <w:r>
        <w:rPr>
          <w:b/>
          <w:sz w:val="22"/>
        </w:rPr>
        <w:t>revenir à une étape antérieure</w:t>
      </w:r>
      <w:r>
        <w:rPr>
          <w:sz w:val="22"/>
        </w:rPr>
        <w:t xml:space="preserve"> (le retour est journalisé).</w:t>
      </w:r>
    </w:p>
    <w:p>
      <w:pPr>
        <w:spacing w:before="80" w:after="80"/>
      </w:pPr>
      <w:r>
        <w:rPr>
          <w:color w:val="C8D0D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3B30A8"/>
          <w:sz w:val="32"/>
        </w:rPr>
        <w:t>4. Le déroulé d'une mission, étape par étape</w:t>
      </w:r>
    </w:p>
    <w:p>
      <w:pPr>
        <w:pStyle w:val="Heading2"/>
      </w:pPr>
      <w:r>
        <w:rPr>
          <w:color w:val="4F46E5"/>
          <w:sz w:val="26"/>
        </w:rPr>
        <w:t>Étape 1 — Cadrage</w:t>
      </w:r>
    </w:p>
    <w:p>
      <w:pPr>
        <w:spacing w:after="120"/>
      </w:pPr>
      <w:r>
        <w:rPr>
          <w:sz w:val="22"/>
        </w:rPr>
        <w:t xml:space="preserve">Vérifiez les paramètres de la mission (client, exercice, cycles, nature de la mission). Le seuil de signification peut être saisi ici, mais il est préférable de le </w:t>
      </w:r>
      <w:r>
        <w:rPr>
          <w:b/>
          <w:sz w:val="22"/>
        </w:rPr>
        <w:t>calculer</w:t>
      </w:r>
      <w:r>
        <w:rPr>
          <w:sz w:val="22"/>
        </w:rPr>
        <w:t xml:space="preserve"> à l'étape Planification (§ Étape 4). Passez ensuite à l'étape suivante.</w:t>
      </w:r>
    </w:p>
    <w:p>
      <w:pPr>
        <w:pStyle w:val="Heading2"/>
      </w:pPr>
      <w:r>
        <w:rPr>
          <w:color w:val="4F46E5"/>
          <w:sz w:val="26"/>
        </w:rPr>
        <w:t>Étape 2 — Contrôle interne (NEP 315)</w:t>
      </w:r>
    </w:p>
    <w:p>
      <w:pPr>
        <w:spacing w:after="120"/>
      </w:pPr>
      <w:r>
        <w:rPr>
          <w:sz w:val="22"/>
        </w:rPr>
        <w:t xml:space="preserve">Pour chaque cycle, répondez au </w:t>
      </w:r>
      <w:r>
        <w:rPr>
          <w:b/>
          <w:sz w:val="22"/>
        </w:rPr>
        <w:t>Questionnaire de Contrôle Interne</w:t>
      </w:r>
      <w:r>
        <w:rPr>
          <w:sz w:val="22"/>
        </w:rPr>
        <w:t xml:space="preserve"> (oui / non / N.A., commentaires libres). À partir de 3 réponses, lancez l'</w:t>
      </w:r>
      <w:r>
        <w:rPr>
          <w:b/>
          <w:sz w:val="22"/>
        </w:rPr>
        <w:t>évaluation</w:t>
      </w:r>
      <w:r>
        <w:rPr>
          <w:sz w:val="22"/>
        </w:rPr>
        <w:t xml:space="preserve"> : le score est calculé par le logiciel, l'IA rédige la synthèse (forces, faiblesses, recommandations).</w:t>
      </w:r>
    </w:p>
    <w:p>
      <w:pPr>
        <w:spacing w:before="80" w:after="120"/>
        <w:ind w:left="454"/>
      </w:pPr>
      <w:r>
        <w:rPr>
          <w:b/>
          <w:i/>
          <w:color w:val="64748B"/>
          <w:sz w:val="20"/>
        </w:rPr>
        <w:t>Incidence sur les travaux :</w:t>
      </w:r>
      <w:r>
        <w:rPr>
          <w:i/>
          <w:color w:val="64748B"/>
          <w:sz w:val="20"/>
        </w:rPr>
        <w:t xml:space="preserve"> un contrôle interne jugé </w:t>
      </w:r>
      <w:r>
        <w:rPr>
          <w:b/>
          <w:i/>
          <w:color w:val="64748B"/>
          <w:sz w:val="20"/>
        </w:rPr>
        <w:t>à risque élevé</w:t>
      </w:r>
      <w:r>
        <w:rPr>
          <w:i/>
          <w:color w:val="64748B"/>
          <w:sz w:val="20"/>
        </w:rPr>
        <w:t xml:space="preserve"> durcit automatiquement les seuils de détection des contrôles (vous verrez plus d'exceptions). Un bon score ne les allège jamais : le questionnaire étant déclaratif, Probare n'autorise pas de réduction des travaux substantifs sans test d'efficacité du contrôle interne (NEP 330).</w:t>
      </w:r>
    </w:p>
    <w:p>
      <w:pPr>
        <w:pStyle w:val="Heading2"/>
      </w:pPr>
      <w:r>
        <w:rPr>
          <w:color w:val="4F46E5"/>
          <w:sz w:val="26"/>
        </w:rPr>
        <w:t>Étape 3 — Ingestion des données</w:t>
      </w:r>
    </w:p>
    <w:p>
      <w:pPr>
        <w:spacing w:after="120"/>
      </w:pPr>
      <w:r>
        <w:rPr>
          <w:sz w:val="22"/>
        </w:rPr>
        <w:t>Importez les fichiers comptables de l'exercice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Nécessaire pour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Balance générale 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Excel / CSV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Quasi tous les contrôles, calcul du seuil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Grand livre 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Excel / CSV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Contrôles de mouvements (séquences, doublons, cut-off…)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Relevé bancaire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Excel / CSV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Rapprochement bancaire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Balance N-1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Excel / CSV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Variations et procédures analytiques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Points pratiques :</w:t>
      </w:r>
    </w:p>
    <w:p>
      <w:pPr>
        <w:pStyle w:val="ListBullet"/>
      </w:pPr>
      <w:r>
        <w:rPr>
          <w:sz w:val="22"/>
        </w:rPr>
        <w:t xml:space="preserve">La </w:t>
      </w:r>
      <w:r>
        <w:rPr>
          <w:b/>
          <w:sz w:val="22"/>
        </w:rPr>
        <w:t>checklist des documents attendus</w:t>
      </w:r>
      <w:r>
        <w:rPr>
          <w:sz w:val="22"/>
        </w:rPr>
        <w:t xml:space="preserve"> (selon vos cycles) vous indique ce qui manque.</w:t>
      </w:r>
    </w:p>
    <w:p>
      <w:pPr>
        <w:pStyle w:val="ListBullet"/>
      </w:pPr>
      <w:r>
        <w:rPr>
          <w:sz w:val="22"/>
        </w:rPr>
        <w:t xml:space="preserve">Le mapping des colonnes (compte, libellé, débit, crédit, solde, date, n° pièce) est </w:t>
      </w:r>
      <w:r>
        <w:rPr>
          <w:b/>
          <w:sz w:val="22"/>
        </w:rPr>
        <w:t>détecté automatiquement</w:t>
      </w:r>
      <w:r>
        <w:rPr>
          <w:sz w:val="22"/>
        </w:rPr>
        <w:t xml:space="preserve"> ; l'IA identifie la nature de chaque document importé.</w:t>
      </w:r>
    </w:p>
    <w:p>
      <w:pPr>
        <w:pStyle w:val="ListBullet"/>
      </w:pPr>
      <w:r>
        <w:rPr>
          <w:sz w:val="22"/>
        </w:rPr>
        <w:t>Pour un classeur Excel multi-onglets, Probare analyse chaque onglet et vous propose d'importer ceux qui sont pertinents, chacun comme document distinct.</w:t>
      </w:r>
    </w:p>
    <w:p>
      <w:pPr>
        <w:pStyle w:val="ListBullet"/>
      </w:pPr>
      <w:r>
        <w:rPr>
          <w:sz w:val="22"/>
        </w:rPr>
        <w:t xml:space="preserve">Un fichier strictement identique déjà importé est </w:t>
      </w:r>
      <w:r>
        <w:rPr>
          <w:b/>
          <w:sz w:val="22"/>
        </w:rPr>
        <w:t>refusé</w:t>
      </w:r>
      <w:r>
        <w:rPr>
          <w:sz w:val="22"/>
        </w:rPr>
        <w:t xml:space="preserve"> (anti-doublon) — supprimez l'ancien import pour réimporter.</w:t>
      </w:r>
    </w:p>
    <w:p>
      <w:pPr>
        <w:pStyle w:val="ListBullet"/>
      </w:pPr>
      <w:r>
        <w:rPr>
          <w:sz w:val="22"/>
        </w:rPr>
        <w:t xml:space="preserve">Les PDF, scans et documents Word passent par le module </w:t>
      </w:r>
      <w:r>
        <w:rPr>
          <w:b/>
          <w:sz w:val="22"/>
        </w:rPr>
        <w:t>Dossier brut</w:t>
      </w:r>
      <w:r>
        <w:rPr>
          <w:sz w:val="22"/>
        </w:rPr>
        <w:t xml:space="preserve"> : l'IA les catalogue, en extrait les données comptables, les </w:t>
      </w:r>
      <w:r>
        <w:rPr>
          <w:b/>
          <w:sz w:val="22"/>
        </w:rPr>
        <w:t>vérifie ligne à ligne</w:t>
      </w:r>
      <w:r>
        <w:rPr>
          <w:sz w:val="22"/>
        </w:rPr>
        <w:t>, puis vous les importez comme source de données à part entière.</w:t>
      </w:r>
    </w:p>
    <w:p>
      <w:pPr>
        <w:pStyle w:val="Heading2"/>
      </w:pPr>
      <w:r>
        <w:rPr>
          <w:color w:val="4F46E5"/>
          <w:sz w:val="26"/>
        </w:rPr>
        <w:t>Étape 4 — Planification (NEP 300)</w:t>
      </w:r>
    </w:p>
    <w:p>
      <w:pPr>
        <w:spacing w:after="120"/>
      </w:pPr>
      <w:r>
        <w:rPr>
          <w:sz w:val="22"/>
        </w:rPr>
        <w:t>C'est l'étape la plus structurante. Dans l'ordre :</w:t>
      </w:r>
    </w:p>
    <w:p>
      <w:pPr>
        <w:pStyle w:val="ListNumber"/>
      </w:pPr>
      <w:r>
        <w:rPr>
          <w:b/>
          <w:sz w:val="22"/>
        </w:rPr>
        <w:t>Fiche entité</w:t>
      </w:r>
      <w:r>
        <w:rPr>
          <w:sz w:val="22"/>
        </w:rPr>
        <w:t xml:space="preserve"> : forme juridique, activités, marchés, dirigeants, système d'information, facteurs de risque.</w:t>
      </w:r>
    </w:p>
    <w:p>
      <w:pPr>
        <w:pStyle w:val="ListNumber"/>
      </w:pPr>
      <w:r>
        <w:rPr>
          <w:b/>
          <w:sz w:val="22"/>
        </w:rPr>
        <w:t>Variations N/N-1</w:t>
      </w:r>
      <w:r>
        <w:rPr>
          <w:sz w:val="22"/>
        </w:rPr>
        <w:t xml:space="preserve"> : choisissez le fichier N et le fichier N-1 ; le logiciel calcule toutes les variations par compte et signale les significatives. L'IA peut ensuite les interpréter (zones de risque).</w:t>
      </w:r>
    </w:p>
    <w:p>
      <w:pPr>
        <w:pStyle w:val="ListNumber"/>
      </w:pPr>
      <w:r>
        <w:rPr>
          <w:b/>
          <w:sz w:val="22"/>
        </w:rPr>
        <w:t>Seuil de signification (NEP 320)</w:t>
      </w:r>
      <w:r>
        <w:rPr>
          <w:sz w:val="22"/>
        </w:rPr>
        <w:t xml:space="preserve"> : choisissez l'agrégat de référence — total bilan (1 %), chiffre d'affaires (1,5 %), résultat net (5 %) — et validez. Le seuil de signification et le seuil de planification (75 %) sont calculés et appliqués à toute la mission. </w:t>
      </w:r>
      <w:r>
        <w:rPr>
          <w:i/>
          <w:sz w:val="22"/>
        </w:rPr>
        <w:t>Le total bilan est calculé sur les seuls comptes de bilan (classes 1 à 5).</w:t>
      </w:r>
    </w:p>
    <w:p>
      <w:pPr>
        <w:pStyle w:val="ListNumber"/>
      </w:pPr>
      <w:r>
        <w:rPr>
          <w:b/>
          <w:sz w:val="22"/>
        </w:rPr>
        <w:t>Cartographie des risques (NEP 315)</w:t>
      </w:r>
      <w:r>
        <w:rPr>
          <w:sz w:val="22"/>
        </w:rPr>
        <w:t xml:space="preserve"> : l'IA propose des risques à partir de la fiche entité et des variations ; ajoutez les vôtres, puis </w:t>
      </w:r>
      <w:r>
        <w:rPr>
          <w:b/>
          <w:sz w:val="22"/>
        </w:rPr>
        <w:t>validez</w:t>
      </w:r>
      <w:r>
        <w:rPr>
          <w:sz w:val="22"/>
        </w:rPr>
        <w:t xml:space="preserve"> ceux que vous retenez — seuls les risques validés comptent.</w:t>
      </w:r>
    </w:p>
    <w:p>
      <w:pPr>
        <w:pStyle w:val="ListNumber"/>
      </w:pPr>
      <w:r>
        <w:rPr>
          <w:b/>
          <w:sz w:val="22"/>
        </w:rPr>
        <w:t>Programme de travail</w:t>
      </w:r>
      <w:r>
        <w:rPr>
          <w:sz w:val="22"/>
        </w:rPr>
        <w:t xml:space="preserve"> : généré par l'IA à partir des risques validés et du registre des contrôles ; ajustez les priorités et le périmètre.</w:t>
      </w:r>
    </w:p>
    <w:p>
      <w:pPr>
        <w:pStyle w:val="ListNumber"/>
      </w:pPr>
      <w:r>
        <w:rPr>
          <w:b/>
          <w:sz w:val="22"/>
        </w:rPr>
        <w:t>Note de planification</w:t>
      </w:r>
      <w:r>
        <w:rPr>
          <w:sz w:val="22"/>
        </w:rPr>
        <w:t xml:space="preserve"> : générez la synthèse et téléchargez la note au format Word pour le dossier.</w:t>
      </w:r>
    </w:p>
    <w:p>
      <w:pPr>
        <w:spacing w:before="80" w:after="120"/>
        <w:ind w:left="454"/>
      </w:pPr>
      <w:r>
        <w:rPr>
          <w:i/>
          <w:color w:val="64748B"/>
          <w:sz w:val="20"/>
        </w:rPr>
        <w:t xml:space="preserve">⚠️ </w:t>
      </w:r>
      <w:r>
        <w:rPr>
          <w:b/>
          <w:i/>
          <w:color w:val="64748B"/>
          <w:sz w:val="20"/>
        </w:rPr>
        <w:t>Le passage aux travaux substantifs est bloqué tant que le seuil de signification n'est pas défini.</w:t>
      </w:r>
    </w:p>
    <w:p>
      <w:pPr>
        <w:pStyle w:val="Heading2"/>
      </w:pPr>
      <w:r>
        <w:rPr>
          <w:color w:val="4F46E5"/>
          <w:sz w:val="26"/>
        </w:rPr>
        <w:t>Étape 5 — Travaux substantifs (NEP 330 / 500 / 505 / 530)</w:t>
      </w:r>
    </w:p>
    <w:p>
      <w:pPr>
        <w:spacing w:after="120"/>
      </w:pPr>
      <w:r>
        <w:rPr>
          <w:b/>
          <w:sz w:val="22"/>
        </w:rPr>
        <w:t>a) Contrôles déterministes.</w:t>
      </w:r>
      <w:r>
        <w:rPr>
          <w:sz w:val="22"/>
        </w:rPr>
        <w:t xml:space="preserve"> Lancez les contrôles cycle par cycle. Pour chaque cycle, Probare exécute sa batterie (équilibre de balance, cohérence grand livre/balance, séquences de pièces, soldes anormaux, doublons de factures, concentration, avoirs, montants ronds, cut-off, variations, amortissements, TVA, paie…). Chaque résultat est soit </w:t>
      </w:r>
      <w:r>
        <w:rPr>
          <w:b/>
          <w:sz w:val="22"/>
        </w:rPr>
        <w:t>OK</w:t>
      </w:r>
      <w:r>
        <w:rPr>
          <w:sz w:val="22"/>
        </w:rPr>
        <w:t xml:space="preserve">, soit une </w:t>
      </w:r>
      <w:r>
        <w:rPr>
          <w:b/>
          <w:sz w:val="22"/>
        </w:rPr>
        <w:t>exception</w:t>
      </w:r>
      <w:r>
        <w:rPr>
          <w:sz w:val="22"/>
        </w:rPr>
        <w:t xml:space="preserve"> ; les contrôles qui n'ont pas pu s'exécuter (document manquant, seuil absent) sont </w:t>
      </w:r>
      <w:r>
        <w:rPr>
          <w:b/>
          <w:sz w:val="22"/>
        </w:rPr>
        <w:t>documentés avec leur motif</w:t>
      </w:r>
      <w:r>
        <w:rPr>
          <w:sz w:val="22"/>
        </w:rPr>
        <w:t xml:space="preserve"> et figureront au dossier.</w:t>
      </w:r>
    </w:p>
    <w:p>
      <w:pPr>
        <w:spacing w:after="120"/>
      </w:pPr>
      <w:r>
        <w:rPr>
          <w:b/>
          <w:sz w:val="22"/>
        </w:rPr>
        <w:t>b) Circularisation (NEP 505).</w:t>
      </w:r>
      <w:r>
        <w:rPr>
          <w:sz w:val="22"/>
        </w:rPr>
        <w:t xml:space="preserve"> Probare propose les tiers à circulariser (plus gros soldes clients/fournisseurs). Pour chaque tiers :</w:t>
      </w:r>
    </w:p>
    <w:p>
      <w:pPr>
        <w:pStyle w:val="ListNumber"/>
      </w:pPr>
      <w:r>
        <w:rPr>
          <w:sz w:val="22"/>
        </w:rPr>
        <w:t xml:space="preserve">Générez la lettre de confirmation (IA) — </w:t>
      </w:r>
      <w:r>
        <w:rPr>
          <w:i/>
          <w:sz w:val="22"/>
        </w:rPr>
        <w:t>générer n'est pas envoyer</w:t>
      </w:r>
      <w:r>
        <w:rPr>
          <w:sz w:val="22"/>
        </w:rPr>
        <w:t xml:space="preserve"> ;</w:t>
      </w:r>
    </w:p>
    <w:p>
      <w:pPr>
        <w:pStyle w:val="ListNumber"/>
      </w:pPr>
      <w:r>
        <w:rPr>
          <w:sz w:val="22"/>
        </w:rPr>
        <w:t xml:space="preserve">Après envoi réel, marquez le dossier </w:t>
      </w:r>
      <w:r>
        <w:rPr>
          <w:b/>
          <w:sz w:val="22"/>
        </w:rPr>
        <w:t>« envoyé »</w:t>
      </w:r>
      <w:r>
        <w:rPr>
          <w:sz w:val="22"/>
        </w:rPr>
        <w:t xml:space="preserve"> avec la date ;</w:t>
      </w:r>
    </w:p>
    <w:p>
      <w:pPr>
        <w:pStyle w:val="ListNumber"/>
      </w:pPr>
      <w:r>
        <w:rPr>
          <w:sz w:val="22"/>
        </w:rPr>
        <w:t xml:space="preserve">Sans réponse, tracez la </w:t>
      </w:r>
      <w:r>
        <w:rPr>
          <w:b/>
          <w:sz w:val="22"/>
        </w:rPr>
        <w:t>relance</w:t>
      </w:r>
      <w:r>
        <w:rPr>
          <w:sz w:val="22"/>
        </w:rPr>
        <w:t xml:space="preserve"> ; à réception, saisissez le solde confirmé — l'écart est calculé et comparé au seuil de planification de la mission ;</w:t>
      </w:r>
    </w:p>
    <w:p>
      <w:pPr>
        <w:pStyle w:val="ListNumber"/>
      </w:pPr>
      <w:r>
        <w:rPr>
          <w:sz w:val="22"/>
        </w:rPr>
        <w:t xml:space="preserve">Un dossier resté </w:t>
      </w:r>
      <w:r>
        <w:rPr>
          <w:b/>
          <w:sz w:val="22"/>
        </w:rPr>
        <w:t>sans réponse</w:t>
      </w:r>
      <w:r>
        <w:rPr>
          <w:sz w:val="22"/>
        </w:rPr>
        <w:t xml:space="preserve"> ne peut être clos qu'après documentation des </w:t>
      </w:r>
      <w:r>
        <w:rPr>
          <w:b/>
          <w:sz w:val="22"/>
        </w:rPr>
        <w:t>procédures alternatives</w:t>
      </w:r>
      <w:r>
        <w:rPr>
          <w:sz w:val="22"/>
        </w:rPr>
        <w:t xml:space="preserve"> mises en œuvre.</w:t>
      </w:r>
    </w:p>
    <w:p>
      <w:pPr>
        <w:spacing w:after="120"/>
      </w:pPr>
      <w:r>
        <w:rPr>
          <w:b/>
          <w:sz w:val="22"/>
        </w:rPr>
        <w:t>c) Sondages (NEP 530).</w:t>
      </w:r>
      <w:r>
        <w:rPr>
          <w:sz w:val="22"/>
        </w:rPr>
        <w:t xml:space="preserve"> Créez un sondage par cycle : le logiciel calcule la taille d'échantillon (niveau de confiance, taux d'erreur toléré), tire l'échantillon de façon </w:t>
      </w:r>
      <w:r>
        <w:rPr>
          <w:b/>
          <w:sz w:val="22"/>
        </w:rPr>
        <w:t>reproductible</w:t>
      </w:r>
      <w:r>
        <w:rPr>
          <w:sz w:val="22"/>
        </w:rPr>
        <w:t xml:space="preserve"> (graine enregistrée), et vous pointez chaque pièce (conforme / anomalie + montant). À la conclusion, l'erreur est </w:t>
      </w:r>
      <w:r>
        <w:rPr>
          <w:b/>
          <w:sz w:val="22"/>
        </w:rPr>
        <w:t>projetée sur la population</w:t>
      </w:r>
      <w:r>
        <w:rPr>
          <w:sz w:val="22"/>
        </w:rPr>
        <w:t xml:space="preserve"> par extrapolation monétaire et l'IA rédige la conclusion du sondage.</w:t>
      </w:r>
    </w:p>
    <w:p>
      <w:pPr>
        <w:pStyle w:val="Heading2"/>
      </w:pPr>
      <w:r>
        <w:rPr>
          <w:color w:val="4F46E5"/>
          <w:sz w:val="26"/>
        </w:rPr>
        <w:t>Étape 6 — Exceptions (NEP 450) : le cœur de votre travail</w:t>
      </w:r>
    </w:p>
    <w:p>
      <w:pPr>
        <w:spacing w:after="120"/>
      </w:pPr>
      <w:r>
        <w:rPr>
          <w:sz w:val="22"/>
        </w:rPr>
        <w:t xml:space="preserve">Chaque exception levée est </w:t>
      </w:r>
      <w:r>
        <w:rPr>
          <w:b/>
          <w:sz w:val="22"/>
        </w:rPr>
        <w:t>automatiquement interprétée par l'IA</w:t>
      </w:r>
      <w:r>
        <w:rPr>
          <w:sz w:val="22"/>
        </w:rPr>
        <w:t xml:space="preserve"> (si activée) : explication, hypothèses de cause, diligences à mener, et un </w:t>
      </w:r>
      <w:r>
        <w:rPr>
          <w:b/>
          <w:sz w:val="22"/>
        </w:rPr>
        <w:t>projet de décision rédigé au conditionnel</w:t>
      </w:r>
      <w:r>
        <w:rPr>
          <w:sz w:val="22"/>
        </w:rPr>
        <w:t xml:space="preserve"> — il ne prétend jamais que des vérifications ont été faites : c'est à vous de les faire.</w:t>
      </w:r>
    </w:p>
    <w:p>
      <w:pPr>
        <w:spacing w:after="120"/>
      </w:pPr>
      <w:r>
        <w:rPr>
          <w:sz w:val="22"/>
        </w:rPr>
        <w:t>Pour trancher une exception :</w:t>
      </w:r>
    </w:p>
    <w:p>
      <w:pPr>
        <w:pStyle w:val="ListNumber"/>
      </w:pPr>
      <w:r>
        <w:rPr>
          <w:sz w:val="22"/>
        </w:rPr>
        <w:t>Réalisez les diligences proposées (ou les vôtres) ;</w:t>
      </w:r>
    </w:p>
    <w:p>
      <w:pPr>
        <w:pStyle w:val="ListNumber"/>
      </w:pPr>
      <w:r>
        <w:rPr>
          <w:sz w:val="22"/>
        </w:rPr>
        <w:t xml:space="preserve">Cliquez </w:t>
      </w:r>
      <w:r>
        <w:rPr>
          <w:b/>
          <w:sz w:val="22"/>
        </w:rPr>
        <w:t>Valider</w:t>
      </w:r>
      <w:r>
        <w:rPr>
          <w:sz w:val="22"/>
        </w:rPr>
        <w:t xml:space="preserve"> (décision IA telle quelle) ou </w:t>
      </w:r>
      <w:r>
        <w:rPr>
          <w:b/>
          <w:sz w:val="22"/>
        </w:rPr>
        <w:t>Modifier</w:t>
      </w:r>
      <w:r>
        <w:rPr>
          <w:sz w:val="22"/>
        </w:rPr>
        <w:t xml:space="preserve"> (votre propre rédaction, 20 caractères minimum) ;</w:t>
      </w:r>
    </w:p>
    <w:p>
      <w:pPr>
        <w:pStyle w:val="ListNumber"/>
      </w:pPr>
      <w:r>
        <w:rPr>
          <w:sz w:val="22"/>
        </w:rPr>
        <w:t xml:space="preserve">Choisissez la </w:t>
      </w:r>
      <w:r>
        <w:rPr>
          <w:b/>
          <w:sz w:val="22"/>
        </w:rPr>
        <w:t>nature de la résolution</w:t>
      </w:r>
      <w:r>
        <w:rPr>
          <w:sz w:val="22"/>
        </w:rPr>
        <w:t xml:space="preserve"> — c'est essentiel :</w:t>
      </w:r>
    </w:p>
    <w:p>
      <w:pPr>
        <w:pStyle w:val="ListBullet"/>
      </w:pPr>
      <w:r>
        <w:rPr>
          <w:b/>
          <w:sz w:val="22"/>
        </w:rPr>
        <w:t>Corrigée par le client</w:t>
      </w:r>
      <w:r>
        <w:rPr>
          <w:sz w:val="22"/>
        </w:rPr>
        <w:t xml:space="preserve"> : l'anomalie a été corrigée, aucune incidence résiduelle ;</w:t>
      </w:r>
    </w:p>
    <w:p>
      <w:pPr>
        <w:pStyle w:val="ListBullet"/>
      </w:pPr>
      <w:r>
        <w:rPr>
          <w:b/>
          <w:sz w:val="22"/>
        </w:rPr>
        <w:t>Sans incidence</w:t>
      </w:r>
      <w:r>
        <w:rPr>
          <w:sz w:val="22"/>
        </w:rPr>
        <w:t xml:space="preserve"> : explication obtenue, aucune anomalie avérée ;</w:t>
      </w:r>
    </w:p>
    <w:p>
      <w:pPr>
        <w:pStyle w:val="ListBullet"/>
      </w:pPr>
      <w:r>
        <w:rPr>
          <w:b/>
          <w:sz w:val="22"/>
        </w:rPr>
        <w:t>Non corrigée</w:t>
      </w:r>
      <w:r>
        <w:rPr>
          <w:sz w:val="22"/>
        </w:rPr>
        <w:t xml:space="preserve"> : l'anomalie demeure — saisissez son </w:t>
      </w:r>
      <w:r>
        <w:rPr>
          <w:b/>
          <w:sz w:val="22"/>
        </w:rPr>
        <w:t>montant d'incidence</w:t>
      </w:r>
      <w:r>
        <w:rPr>
          <w:sz w:val="22"/>
        </w:rPr>
        <w:t xml:space="preserve"> ;</w:t>
      </w:r>
    </w:p>
    <w:p>
      <w:pPr>
        <w:pStyle w:val="ListNumber"/>
      </w:pPr>
      <w:r>
        <w:rPr>
          <w:sz w:val="22"/>
        </w:rPr>
        <w:t xml:space="preserve">Signez de votre nom. Les exceptions </w:t>
      </w:r>
      <w:r>
        <w:rPr>
          <w:b/>
          <w:sz w:val="22"/>
        </w:rPr>
        <w:t>critiques</w:t>
      </w:r>
      <w:r>
        <w:rPr>
          <w:sz w:val="22"/>
        </w:rPr>
        <w:t xml:space="preserve"> exigent en plus la saisie du mot VALIDER.</w:t>
      </w:r>
    </w:p>
    <w:p>
      <w:pPr>
        <w:spacing w:before="80" w:after="120"/>
        <w:ind w:left="454"/>
      </w:pPr>
      <w:r>
        <w:rPr>
          <w:b/>
          <w:i/>
          <w:color w:val="64748B"/>
          <w:sz w:val="20"/>
        </w:rPr>
        <w:t>Cumul NEP 450 :</w:t>
      </w:r>
      <w:r>
        <w:rPr>
          <w:i/>
          <w:color w:val="64748B"/>
          <w:sz w:val="20"/>
        </w:rPr>
        <w:t xml:space="preserve"> Probare additionne les montants des anomalies </w:t>
      </w:r>
      <w:r>
        <w:rPr>
          <w:b/>
          <w:i/>
          <w:color w:val="64748B"/>
          <w:sz w:val="20"/>
        </w:rPr>
        <w:t>non corrigées</w:t>
      </w:r>
      <w:r>
        <w:rPr>
          <w:i/>
          <w:color w:val="64748B"/>
          <w:sz w:val="20"/>
        </w:rPr>
        <w:t xml:space="preserve"> et les compare au seuil de signification. Si le cumul dépasse le seuil, le passage en génération est </w:t>
      </w:r>
      <w:r>
        <w:rPr>
          <w:b/>
          <w:i/>
          <w:color w:val="64748B"/>
          <w:sz w:val="20"/>
        </w:rPr>
        <w:t>bloqué</w:t>
      </w:r>
      <w:r>
        <w:rPr>
          <w:i/>
          <w:color w:val="64748B"/>
          <w:sz w:val="20"/>
        </w:rPr>
        <w:t xml:space="preserve"> : soit vous enregistrez les corrections du client, soit vous confirmez explicitement le dépassement — en sachant qu'il devra se traduire dans l'opinion (réserve ou refus). Cette confirmation est journalisée.</w:t>
      </w:r>
    </w:p>
    <w:p>
      <w:pPr>
        <w:pStyle w:val="Heading2"/>
      </w:pPr>
      <w:r>
        <w:rPr>
          <w:color w:val="4F46E5"/>
          <w:sz w:val="26"/>
        </w:rPr>
        <w:t>Étape 7 — Rapport et génération</w:t>
      </w:r>
    </w:p>
    <w:p>
      <w:pPr>
        <w:spacing w:after="120"/>
      </w:pPr>
      <w:r>
        <w:rPr>
          <w:sz w:val="22"/>
        </w:rPr>
        <w:t>Une fois toutes les exceptions tranchées :</w:t>
      </w:r>
    </w:p>
    <w:p>
      <w:pPr>
        <w:pStyle w:val="ListNumber"/>
      </w:pPr>
      <w:r>
        <w:rPr>
          <w:sz w:val="22"/>
        </w:rPr>
        <w:t xml:space="preserve">Générez les </w:t>
      </w:r>
      <w:r>
        <w:rPr>
          <w:b/>
          <w:sz w:val="22"/>
        </w:rPr>
        <w:t>feuilles de travail</w:t>
      </w:r>
      <w:r>
        <w:rPr>
          <w:sz w:val="22"/>
        </w:rPr>
        <w:t xml:space="preserve"> par cycle (rédaction IA structurée : objectif, procédures, résultats, anomalies, conclusion). Tout montant rédigé par l'IA est vérifié contre les valeurs calculées ; les montants non tracés sont signalés en </w:t>
      </w:r>
      <w:r>
        <w:rPr>
          <w:sz w:val="22"/>
        </w:rPr>
        <w:t>« avertissements de traçabilité »</w:t>
      </w:r>
      <w:r>
        <w:rPr>
          <w:sz w:val="22"/>
        </w:rPr>
        <w:t xml:space="preserve"> ;</w:t>
      </w:r>
    </w:p>
    <w:p>
      <w:pPr>
        <w:pStyle w:val="ListNumber"/>
      </w:pPr>
      <w:r>
        <w:rPr>
          <w:sz w:val="22"/>
        </w:rPr>
        <w:t xml:space="preserve">Exportez le </w:t>
      </w:r>
      <w:r>
        <w:rPr>
          <w:b/>
          <w:sz w:val="22"/>
        </w:rPr>
        <w:t>dossier de travail</w:t>
      </w:r>
      <w:r>
        <w:rPr>
          <w:sz w:val="22"/>
        </w:rPr>
        <w:t xml:space="preserve"> (Word) : résultats des contrôles, exceptions et leur traitement, </w:t>
      </w:r>
      <w:r>
        <w:rPr>
          <w:b/>
          <w:sz w:val="22"/>
        </w:rPr>
        <w:t>synthèse des anomalies NEP 450</w:t>
      </w:r>
      <w:r>
        <w:rPr>
          <w:sz w:val="22"/>
        </w:rPr>
        <w:t>, contrôles non exécutés et motifs, feuilles de travail ;</w:t>
      </w:r>
    </w:p>
    <w:p>
      <w:pPr>
        <w:pStyle w:val="ListNumber"/>
      </w:pPr>
      <w:r>
        <w:rPr>
          <w:sz w:val="22"/>
        </w:rPr>
        <w:t xml:space="preserve">Exportez le </w:t>
      </w:r>
      <w:r>
        <w:rPr>
          <w:b/>
          <w:sz w:val="22"/>
        </w:rPr>
        <w:t>tableau des exceptions</w:t>
      </w:r>
      <w:r>
        <w:rPr>
          <w:sz w:val="22"/>
        </w:rPr>
        <w:t xml:space="preserve"> (Excel) si besoin.</w:t>
      </w:r>
    </w:p>
    <w:p>
      <w:pPr>
        <w:spacing w:after="120"/>
      </w:pPr>
      <w:r>
        <w:rPr>
          <w:sz w:val="22"/>
        </w:rPr>
        <w:t xml:space="preserve">L'export est </w:t>
      </w:r>
      <w:r>
        <w:rPr>
          <w:b/>
          <w:sz w:val="22"/>
        </w:rPr>
        <w:t>bloqué</w:t>
      </w:r>
      <w:r>
        <w:rPr>
          <w:sz w:val="22"/>
        </w:rPr>
        <w:t xml:space="preserve"> s'il subsiste un chiffre sans provenance : c'est votre garantie qu'aucun montant inventé n'entre au dossier.</w:t>
      </w:r>
    </w:p>
    <w:p>
      <w:pPr>
        <w:pStyle w:val="Heading2"/>
      </w:pPr>
      <w:r>
        <w:rPr>
          <w:color w:val="4F46E5"/>
          <w:sz w:val="26"/>
        </w:rPr>
        <w:t>Étape 8 — Opinion</w:t>
      </w:r>
    </w:p>
    <w:p>
      <w:pPr>
        <w:spacing w:after="120"/>
      </w:pPr>
      <w:r>
        <w:rPr>
          <w:sz w:val="22"/>
        </w:rPr>
        <w:t xml:space="preserve">L'opinion (certification sans réserve, avec réserve, refus) se formule </w:t>
      </w:r>
      <w:r>
        <w:rPr>
          <w:b/>
          <w:sz w:val="22"/>
        </w:rPr>
        <w:t>hors de Probare</w:t>
      </w:r>
      <w:r>
        <w:rPr>
          <w:sz w:val="22"/>
        </w:rPr>
        <w:t>, sur la base du dossier généré — en particulier de la synthèse NEP 450. Probare ne signe rien à votre place.</w:t>
      </w:r>
    </w:p>
    <w:p>
      <w:pPr>
        <w:spacing w:before="80" w:after="80"/>
      </w:pPr>
      <w:r>
        <w:rPr>
          <w:color w:val="C8D0D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3B30A8"/>
          <w:sz w:val="32"/>
        </w:rPr>
        <w:t>5. Sauvegarde, archivage, journal</w:t>
      </w:r>
    </w:p>
    <w:p>
      <w:pPr>
        <w:pStyle w:val="ListBullet"/>
      </w:pPr>
      <w:r>
        <w:rPr>
          <w:b/>
          <w:sz w:val="22"/>
        </w:rPr>
        <w:t>Sauvegarder</w:t>
      </w:r>
      <w:r>
        <w:rPr>
          <w:sz w:val="22"/>
        </w:rPr>
        <w:t xml:space="preserve"> (Tableau de bord, menu de la mission) : exporte la mission complète en ZIP (base + fichiers importés). Conservez ces archives hors de la machine.</w:t>
      </w:r>
    </w:p>
    <w:p>
      <w:pPr>
        <w:pStyle w:val="ListBullet"/>
      </w:pPr>
      <w:r>
        <w:rPr>
          <w:b/>
          <w:sz w:val="22"/>
        </w:rPr>
        <w:t>Restaurer</w:t>
      </w:r>
      <w:r>
        <w:rPr>
          <w:sz w:val="22"/>
        </w:rPr>
        <w:t xml:space="preserve"> : réimporte un ZIP Probare ; refusé si la mission existe déjà.</w:t>
      </w:r>
    </w:p>
    <w:p>
      <w:pPr>
        <w:pStyle w:val="ListBullet"/>
      </w:pPr>
      <w:r>
        <w:rPr>
          <w:b/>
          <w:sz w:val="22"/>
        </w:rPr>
        <w:t>Archiver</w:t>
      </w:r>
      <w:r>
        <w:rPr>
          <w:sz w:val="22"/>
        </w:rPr>
        <w:t xml:space="preserve"> : à la clôture, archivez la mission — elle passe en </w:t>
      </w:r>
      <w:r>
        <w:rPr>
          <w:b/>
          <w:sz w:val="22"/>
        </w:rPr>
        <w:t>lecture seule</w:t>
      </w:r>
      <w:r>
        <w:rPr>
          <w:sz w:val="22"/>
        </w:rPr>
        <w:t xml:space="preserve"> (toute modification est refusée tant qu'elle n'est pas explicitement désarchivée).</w:t>
      </w:r>
    </w:p>
    <w:p>
      <w:pPr>
        <w:pStyle w:val="ListBullet"/>
      </w:pPr>
      <w:r>
        <w:rPr>
          <w:b/>
          <w:sz w:val="22"/>
        </w:rPr>
        <w:t>Journal</w:t>
      </w:r>
      <w:r>
        <w:rPr>
          <w:sz w:val="22"/>
        </w:rPr>
        <w:t xml:space="preserve"> : consultez à tout moment la piste d'audit — imports, contrôles, appels IA (modèle et volumes), décisions, transitions.</w:t>
      </w:r>
    </w:p>
    <w:p>
      <w:pPr>
        <w:spacing w:before="80" w:after="80"/>
      </w:pPr>
      <w:r>
        <w:rPr>
          <w:color w:val="C8D0D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3B30A8"/>
          <w:sz w:val="32"/>
        </w:rPr>
        <w:t>6. Bonnes pratiques et limites à connaître</w:t>
      </w:r>
    </w:p>
    <w:p>
      <w:pPr>
        <w:pStyle w:val="ListNumber"/>
      </w:pPr>
      <w:r>
        <w:rPr>
          <w:b/>
          <w:sz w:val="22"/>
        </w:rPr>
        <w:t>L'IA propose, vous disposez.</w:t>
      </w:r>
      <w:r>
        <w:rPr>
          <w:sz w:val="22"/>
        </w:rPr>
        <w:t xml:space="preserve"> Ne validez jamais un projet de décision sans avoir réalisé les diligences : le texte est volontairement rédigé au conditionnel pour vous y obliger.</w:t>
      </w:r>
    </w:p>
    <w:p>
      <w:pPr>
        <w:pStyle w:val="ListNumber"/>
      </w:pPr>
      <w:r>
        <w:rPr>
          <w:b/>
          <w:sz w:val="22"/>
        </w:rPr>
        <w:t>Typez toujours vos tranchements.</w:t>
      </w:r>
      <w:r>
        <w:rPr>
          <w:sz w:val="22"/>
        </w:rPr>
        <w:t xml:space="preserve"> Le cumul NEP 450 ne fonctionne que si chaque anomalie non corrigée porte son montant d'incidence.</w:t>
      </w:r>
    </w:p>
    <w:p>
      <w:pPr>
        <w:pStyle w:val="ListNumber"/>
      </w:pPr>
      <w:r>
        <w:rPr>
          <w:b/>
          <w:sz w:val="22"/>
        </w:rPr>
        <w:t>Rapprochement bancaire :</w:t>
      </w:r>
      <w:r>
        <w:rPr>
          <w:sz w:val="22"/>
        </w:rPr>
        <w:t xml:space="preserve"> le solde du relevé est détecté par heuristique (plus grand montant) — vérifiez-le systématiquement contre le relevé papier.</w:t>
      </w:r>
    </w:p>
    <w:p>
      <w:pPr>
        <w:pStyle w:val="ListNumber"/>
      </w:pPr>
      <w:r>
        <w:rPr>
          <w:b/>
          <w:sz w:val="22"/>
        </w:rPr>
        <w:t>Anonymisation :</w:t>
      </w:r>
      <w:r>
        <w:rPr>
          <w:sz w:val="22"/>
        </w:rPr>
        <w:t xml:space="preserve"> seuls le nom du client et le NIF sont pseudonymisés. Les libellés d'écritures (noms de fournisseurs, de salariés) partent tels quels à l'IA — tenez-en compte dans le consentement client.</w:t>
      </w:r>
    </w:p>
    <w:p>
      <w:pPr>
        <w:pStyle w:val="ListNumber"/>
      </w:pPr>
      <w:r>
        <w:rPr>
          <w:b/>
          <w:sz w:val="22"/>
        </w:rPr>
        <w:t>Sondages :</w:t>
      </w:r>
      <w:r>
        <w:rPr>
          <w:sz w:val="22"/>
        </w:rPr>
        <w:t xml:space="preserve"> le tirage est aléatoire simple (non stratifié). Pour les populations très hétérogènes, complétez par une sélection ciblée des éléments majeurs.</w:t>
      </w:r>
    </w:p>
    <w:p>
      <w:pPr>
        <w:pStyle w:val="ListNumber"/>
      </w:pPr>
      <w:r>
        <w:rPr>
          <w:b/>
          <w:sz w:val="22"/>
        </w:rPr>
        <w:t>Mono-utilisateur :</w:t>
      </w:r>
      <w:r>
        <w:rPr>
          <w:sz w:val="22"/>
        </w:rPr>
        <w:t xml:space="preserve"> Probare (MVP) n'a ni comptes ni signature électronique — le nom du décideur est déclaratif. Encadrez l'accès au poste de travail.</w:t>
      </w:r>
    </w:p>
    <w:p>
      <w:pPr>
        <w:pStyle w:val="ListNumber"/>
      </w:pPr>
      <w:r>
        <w:rPr>
          <w:b/>
          <w:sz w:val="22"/>
        </w:rPr>
        <w:t>Sauvegardez avant chaque étape importante</w:t>
      </w:r>
      <w:r>
        <w:rPr>
          <w:sz w:val="22"/>
        </w:rPr>
        <w:t xml:space="preserve"> (fin d'ingestion, fin des travaux) : les données vivent en local sur votre machine.</w:t>
      </w:r>
    </w:p>
    <w:p>
      <w:pPr>
        <w:spacing w:before="80" w:after="80"/>
      </w:pPr>
      <w:r>
        <w:rPr>
          <w:color w:val="C8D0D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3B30A8"/>
          <w:sz w:val="32"/>
        </w:rPr>
        <w:t>7. Dépannage rapide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Symptôme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Cause probable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« Moteur non disponible »</w:t>
            </w:r>
            <w:r>
              <w:rPr>
                <w:sz w:val="20"/>
              </w:rPr>
              <w:t xml:space="preserve"> au démarrage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 service de calcul n'a pas démarré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 xml:space="preserve">Cliquez </w:t>
            </w:r>
            <w:r>
              <w:rPr>
                <w:b/>
                <w:sz w:val="20"/>
              </w:rPr>
              <w:t>Réessayer</w:t>
            </w:r>
            <w:r>
              <w:rPr>
                <w:sz w:val="20"/>
              </w:rPr>
              <w:t xml:space="preserve"> ; vérifiez l'installation Python si le problème persiste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« Clé API Claude non configurée »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color w:val="1E3A5F"/>
                <w:sz w:val="20"/>
              </w:rPr>
              <w:t>.env</w:t>
            </w:r>
            <w:r>
              <w:rPr>
                <w:sz w:val="20"/>
              </w:rPr>
              <w:t xml:space="preserve"> absent ou incomplet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Voir § 2.1, puis redémarrez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« Consentement client requis 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Case non cochée au cadrage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Activez le consentement (avec l'accord du client)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« Ce fichier a déjà été importé 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Import strictement identique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Supprimez l'import existant avant de réimporter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« Seuil de signification non défini 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Passage aux travaux sans seuil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Calculez le seuil à l'étape Planification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« NEP 450 : le cumul… dépasse le seuil 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Anomalies non corrigées &gt; seuil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Enregistrez les corrections du client ou confirmez le dépassement en connaissance de cause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« Dossier archivé — lecture seule 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Mission archivée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Désarchivez-la depuis le tableau de bord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« NEP 505 : … documentez les procédures alternatives 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Clôture d'une circularisation sans réponse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Renseignez les procédures alternatives avant de clore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color w:val="C8D0D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4748B"/>
          <w:sz w:val="18"/>
        </w:rPr>
        <w:t>Probare v0.1 (MVP) — Ce guide décrit le fonctionnement du logiciel ; il ne se substitue ni aux normes d'exercice professionnel ni à votre jugement. L'opinion d'audit demeure de la responsabilité exclusive de l'auditeur habilité signataire.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