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6"/>
        </w:rPr>
        <w:t>PROBARE</w:t>
      </w:r>
    </w:p>
    <w:p>
      <w:pPr>
        <w:jc w:val="center"/>
      </w:pPr>
      <w:r>
        <w:rPr>
          <w:i/>
        </w:rPr>
        <w:t>Logiciel d'audit IA-first — Djibouti</w:t>
      </w:r>
    </w:p>
    <w:p/>
    <w:p>
      <w:pPr>
        <w:pStyle w:val="Title"/>
        <w:jc w:val="center"/>
      </w:pPr>
      <w:r>
        <w:t>NOTE DE PLANIFICATION DE L'AUDIT</w:t>
      </w:r>
    </w:p>
    <w:p/>
    <w:p>
      <w:pPr>
        <w:spacing w:after="0"/>
      </w:pPr>
      <w:r>
        <w:rPr>
          <w:sz w:val="16"/>
        </w:rPr>
        <w:t>────────────────────────────────────────────────────────────────────────────────</w:t>
      </w:r>
    </w:p>
    <w:p/>
    <w:p>
      <w:pPr>
        <w:jc w:val="center"/>
      </w:pPr>
      <w:r>
        <w:rPr>
          <w:sz w:val="24"/>
        </w:rPr>
        <w:t>Entité auditée : Voiture Ventes SARL</w:t>
        <w:br/>
      </w:r>
      <w:r>
        <w:rPr>
          <w:sz w:val="24"/>
        </w:rPr>
        <w:t>Exercice : 2024</w:t>
        <w:br/>
      </w:r>
      <w:r>
        <w:rPr>
          <w:sz w:val="24"/>
        </w:rPr>
        <w:t>Date d'émission : 07/07/2026 12:30 UTC</w:t>
        <w:br/>
      </w:r>
      <w:r>
        <w:rPr>
          <w:sz w:val="24"/>
        </w:rPr>
        <w:t>Référentiel : ISA 300 — Planification</w:t>
        <w:br/>
      </w:r>
      <w:r>
        <w:rPr>
          <w:sz w:val="24"/>
        </w:rPr>
        <w:t>Statut : Document de travail — CONFIDENTIEL</w:t>
        <w:br/>
      </w:r>
    </w:p>
    <w:p/>
    <w:p>
      <w:pPr>
        <w:spacing w:after="0"/>
      </w:pPr>
      <w:r>
        <w:rPr>
          <w:sz w:val="16"/>
        </w:rPr>
        <w:t>────────────────────────────────────────────────────────────────────────────────</w:t>
      </w:r>
    </w:p>
    <w:p>
      <w:r>
        <w:br w:type="page"/>
      </w:r>
    </w:p>
    <w:p>
      <w:pPr>
        <w:pStyle w:val="Heading1"/>
      </w:pPr>
      <w:r>
        <w:rPr>
          <w:color w:val="4F46E5"/>
        </w:rPr>
        <w:t>Sommaire</w:t>
      </w:r>
    </w:p>
    <w:p>
      <w:pPr>
        <w:pStyle w:val="ListNumber"/>
      </w:pPr>
      <w:r>
        <w:t>1. Cadre et objectifs de la mission</w:t>
      </w:r>
    </w:p>
    <w:p>
      <w:pPr>
        <w:pStyle w:val="ListNumber"/>
      </w:pPr>
      <w:r>
        <w:t>2. Connaissance de l'entité (ISA 315)</w:t>
      </w:r>
    </w:p>
    <w:p>
      <w:pPr>
        <w:pStyle w:val="ListNumber"/>
      </w:pPr>
      <w:r>
        <w:t>3. Procédures analytiques préliminaires (ISA 520)</w:t>
      </w:r>
    </w:p>
    <w:p>
      <w:pPr>
        <w:pStyle w:val="ListNumber"/>
      </w:pPr>
      <w:r>
        <w:t>4. Seuil de signification (ISA 320)</w:t>
      </w:r>
    </w:p>
    <w:p>
      <w:pPr>
        <w:pStyle w:val="ListNumber"/>
      </w:pPr>
      <w:r>
        <w:t>5. Cartographie des risques (ISA 315)</w:t>
      </w:r>
    </w:p>
    <w:p>
      <w:pPr>
        <w:pStyle w:val="ListNumber"/>
      </w:pPr>
      <w:r>
        <w:t>6. Programme de travail (ISA 300 / ISA 330)</w:t>
      </w:r>
    </w:p>
    <w:p>
      <w:pPr>
        <w:pStyle w:val="ListNumber"/>
      </w:pPr>
      <w:r>
        <w:t>7. Synthèse et conclusion</w:t>
      </w:r>
    </w:p>
    <w:p>
      <w:r>
        <w:br w:type="page"/>
      </w:r>
    </w:p>
    <w:p>
      <w:pPr>
        <w:pStyle w:val="Heading1"/>
      </w:pPr>
      <w:r>
        <w:rPr>
          <w:color w:val="4F46E5"/>
        </w:rPr>
        <w:t>1. Cadre et objectifs de la mission</w:t>
      </w:r>
    </w:p>
    <w:p>
      <w:r>
        <w:rPr>
          <w:b w:val="0"/>
          <w:i w:val="0"/>
          <w:sz w:val="22"/>
        </w:rPr>
        <w:t>La présente note de planification est établie conformément à la norme ISA 300 pour la mission d'audit des comptes de l'exercice 2024 de l'entité Voiture Ventes SARL. Elle constitue un document de travail confidentiel intégré au dossier d'audit et doit être conservée pendant la durée légale (5 ans).</w:t>
      </w:r>
    </w:p>
    <w:p>
      <w:pPr>
        <w:pStyle w:val="Heading2"/>
      </w:pPr>
      <w:r>
        <w:t>1.1 Objectifs de l'audit</w:t>
      </w:r>
    </w:p>
    <w:p>
      <w:r>
        <w:rPr>
          <w:b w:val="0"/>
          <w:i w:val="0"/>
          <w:sz w:val="22"/>
        </w:rPr>
        <w:t>L'audit a pour objectif d'émettre une opinion sur la régularité, la sincérité et l'image fidèle des états financiers. Cet objectif est atteint par la mise en œuvre de diligences adaptées aux risques identifiés lors de la présente phase de planification.</w:t>
      </w:r>
    </w:p>
    <w:p>
      <w:pPr>
        <w:pStyle w:val="Heading2"/>
      </w:pPr>
      <w:r>
        <w:t>1.2 Référentiels applicables</w:t>
      </w:r>
    </w:p>
    <w:p>
      <w:pPr>
        <w:pStyle w:val="ListBullet"/>
      </w:pPr>
      <w:r>
        <w:t>ISA 300 — Planification de la mission</w:t>
      </w:r>
    </w:p>
    <w:p>
      <w:pPr>
        <w:pStyle w:val="ListBullet"/>
      </w:pPr>
      <w:r>
        <w:t>ISA 315 — Connaissance de l'entité et identification des risques</w:t>
      </w:r>
    </w:p>
    <w:p>
      <w:pPr>
        <w:pStyle w:val="ListBullet"/>
      </w:pPr>
      <w:r>
        <w:t>ISA 320 — Seuil de signification</w:t>
      </w:r>
    </w:p>
    <w:p>
      <w:pPr>
        <w:pStyle w:val="ListBullet"/>
      </w:pPr>
      <w:r>
        <w:t>ISA 330 — Procédures d'audit mises en œuvre en réponse aux risques évalués</w:t>
      </w:r>
    </w:p>
    <w:p>
      <w:pPr>
        <w:pStyle w:val="ListBullet"/>
      </w:pPr>
      <w:r>
        <w:t>ISA 520 — Procédures analytiques</w:t>
      </w:r>
    </w:p>
    <w:p>
      <w:pPr>
        <w:pStyle w:val="ListBullet"/>
      </w:pPr>
      <w:r>
        <w:t>ISA 230 — Documentation des travaux</w:t>
      </w:r>
    </w:p>
    <w:p>
      <w:r>
        <w:br w:type="page"/>
      </w:r>
    </w:p>
    <w:p>
      <w:pPr>
        <w:pStyle w:val="Heading1"/>
      </w:pPr>
      <w:r>
        <w:rPr>
          <w:color w:val="4F46E5"/>
        </w:rPr>
        <w:t>2. Connaissance de l'entité (ISA 315)</w:t>
      </w:r>
    </w:p>
    <w:p/>
    <w:p>
      <w:pPr>
        <w:pStyle w:val="Heading2"/>
      </w:pPr>
      <w:r>
        <w:t>2.1 Identification et présentation générale</w:t>
      </w:r>
    </w:p>
    <w:p>
      <w:r>
        <w:rPr>
          <w:b/>
          <w:sz w:val="22"/>
        </w:rPr>
        <w:t xml:space="preserve">Forme juridique : </w:t>
      </w:r>
      <w:r>
        <w:rPr>
          <w:sz w:val="22"/>
        </w:rPr>
        <w:t>SARL</w:t>
      </w:r>
      <w:r>
        <w:br/>
      </w:r>
      <w:r>
        <w:rPr>
          <w:b/>
          <w:sz w:val="22"/>
        </w:rPr>
        <w:t xml:space="preserve">Date de création : </w:t>
      </w:r>
      <w:r>
        <w:rPr>
          <w:sz w:val="22"/>
        </w:rPr>
        <w:t>2022-01-07</w:t>
      </w:r>
      <w:r>
        <w:br/>
      </w:r>
      <w:r>
        <w:rPr>
          <w:b/>
          <w:sz w:val="22"/>
        </w:rPr>
        <w:t xml:space="preserve">Effectif : </w:t>
      </w:r>
      <w:r>
        <w:rPr>
          <w:sz w:val="22"/>
        </w:rPr>
        <w:t>32</w:t>
      </w:r>
      <w:r>
        <w:br/>
      </w:r>
      <w:r>
        <w:rPr>
          <w:b/>
          <w:sz w:val="22"/>
        </w:rPr>
        <w:t xml:space="preserve">Système d'information : </w:t>
      </w:r>
      <w:r>
        <w:rPr>
          <w:sz w:val="22"/>
        </w:rPr>
        <w:t>Sage 100</w:t>
      </w:r>
      <w:r>
        <w:br/>
      </w:r>
    </w:p>
    <w:p>
      <w:pPr>
        <w:pStyle w:val="Heading2"/>
      </w:pPr>
      <w:r>
        <w:t>2.2 Activités et marchés</w:t>
      </w:r>
    </w:p>
    <w:p>
      <w:r>
        <w:rPr>
          <w:b w:val="0"/>
          <w:i w:val="0"/>
          <w:sz w:val="22"/>
        </w:rPr>
        <w:t>Importation de véhicules neufs et d’occasion (Asie, Europe) et vente en gros/détail à Djibouti et dans la Corne de l’Afrique.</w:t>
      </w:r>
    </w:p>
    <w:p>
      <w:pPr>
        <w:pStyle w:val="Heading2"/>
      </w:pPr>
      <w:r>
        <w:t>2.3 Gouvernance — Dirigeants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Nom</w:t>
            </w:r>
          </w:p>
        </w:tc>
        <w:tc>
          <w:tcPr>
            <w:tcW w:type="dxa" w:w="3135"/>
          </w:tcPr>
          <w:p>
            <w:r>
              <w:rPr>
                <w:b/>
              </w:rPr>
              <w:t>Fonction</w:t>
            </w:r>
          </w:p>
        </w:tc>
        <w:tc>
          <w:tcPr>
            <w:tcW w:type="dxa" w:w="3135"/>
          </w:tcPr>
          <w:p>
            <w:r>
              <w:rPr>
                <w:b/>
              </w:rPr>
              <w:t>Email</w:t>
            </w:r>
          </w:p>
        </w:tc>
      </w:tr>
      <w:tr>
        <w:tc>
          <w:tcPr>
            <w:tcW w:type="dxa" w:w="3135"/>
          </w:tcPr>
          <w:p>
            <w:r>
              <w:t xml:space="preserve">M. Ahmed Mohamed </w:t>
            </w:r>
          </w:p>
        </w:tc>
        <w:tc>
          <w:tcPr>
            <w:tcW w:type="dxa" w:w="3135"/>
          </w:tcPr>
          <w:p>
            <w:r>
              <w:t>DG</w:t>
            </w:r>
          </w:p>
        </w:tc>
        <w:tc>
          <w:tcPr>
            <w:tcW w:type="dxa" w:w="3135"/>
          </w:tcPr>
          <w:p>
            <w:r>
              <w:t>—</w:t>
            </w:r>
          </w:p>
        </w:tc>
      </w:tr>
      <w:tr>
        <w:tc>
          <w:tcPr>
            <w:tcW w:type="dxa" w:w="3135"/>
          </w:tcPr>
          <w:p>
            <w:r>
              <w:t>Mme Fatouma Ali</w:t>
            </w:r>
          </w:p>
        </w:tc>
        <w:tc>
          <w:tcPr>
            <w:tcW w:type="dxa" w:w="3135"/>
          </w:tcPr>
          <w:p>
            <w:r>
              <w:t>DAF</w:t>
            </w:r>
          </w:p>
        </w:tc>
        <w:tc>
          <w:tcPr>
            <w:tcW w:type="dxa" w:w="3135"/>
          </w:tcPr>
          <w:p>
            <w:r>
              <w:t>—</w:t>
            </w:r>
          </w:p>
        </w:tc>
      </w:tr>
    </w:tbl>
    <w:p>
      <w:pPr>
        <w:pStyle w:val="Heading2"/>
      </w:pPr>
      <w:r>
        <w:t>2.4 Facteurs de risque inhérent identifiés</w:t>
      </w:r>
    </w:p>
    <w:p>
      <w:r>
        <w:rPr>
          <w:b w:val="0"/>
          <w:i/>
          <w:sz w:val="22"/>
        </w:rPr>
        <w:t>Aucun facteur de risque inhérent spécifique identifié.</w:t>
      </w:r>
    </w:p>
    <w:p>
      <w:r>
        <w:br w:type="page"/>
      </w:r>
    </w:p>
    <w:p>
      <w:pPr>
        <w:pStyle w:val="Heading1"/>
      </w:pPr>
      <w:r>
        <w:rPr>
          <w:color w:val="4F46E5"/>
        </w:rPr>
        <w:t>3. Procédures analytiques préliminaires (ISA 520)</w:t>
      </w:r>
    </w:p>
    <w:p>
      <w:r>
        <w:rPr>
          <w:b w:val="0"/>
          <w:i w:val="0"/>
          <w:sz w:val="22"/>
        </w:rPr>
        <w:t>Les procédures analytiques préliminaires consistent à comparer les données financières de l'exercice N aux données de l'exercice N-1 afin d'identifier les variations significatives susceptibles de révéler un risque d'anomalie.</w:t>
      </w:r>
    </w:p>
    <w:p>
      <w:pPr>
        <w:pStyle w:val="Heading2"/>
      </w:pPr>
      <w:r>
        <w:t>3.1 Variations significatives identifiées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Compte</w:t>
            </w:r>
          </w:p>
        </w:tc>
        <w:tc>
          <w:tcPr>
            <w:tcW w:type="dxa" w:w="1881"/>
          </w:tcPr>
          <w:p>
            <w:r>
              <w:rPr>
                <w:b/>
              </w:rPr>
              <w:t>Libellé</w:t>
            </w:r>
          </w:p>
        </w:tc>
        <w:tc>
          <w:tcPr>
            <w:tcW w:type="dxa" w:w="1881"/>
          </w:tcPr>
          <w:p>
            <w:r>
              <w:rPr>
                <w:b/>
              </w:rPr>
              <w:t>Solde N</w:t>
            </w:r>
          </w:p>
        </w:tc>
        <w:tc>
          <w:tcPr>
            <w:tcW w:type="dxa" w:w="1881"/>
          </w:tcPr>
          <w:p>
            <w:r>
              <w:rPr>
                <w:b/>
              </w:rPr>
              <w:t>Solde N-1</w:t>
            </w:r>
          </w:p>
        </w:tc>
        <w:tc>
          <w:tcPr>
            <w:tcW w:type="dxa" w:w="1881"/>
          </w:tcPr>
          <w:p>
            <w:r>
              <w:rPr>
                <w:b/>
              </w:rPr>
              <w:t>Variation %</w:t>
            </w:r>
          </w:p>
        </w:tc>
      </w:tr>
      <w:tr>
        <w:tc>
          <w:tcPr>
            <w:tcW w:type="dxa" w:w="1881"/>
          </w:tcPr>
          <w:p>
            <w:r>
              <w:t>607</w:t>
            </w:r>
          </w:p>
        </w:tc>
        <w:tc>
          <w:tcPr>
            <w:tcW w:type="dxa" w:w="1881"/>
          </w:tcPr>
          <w:p>
            <w:r>
              <w:t>Achats de marchandises</w:t>
            </w:r>
          </w:p>
        </w:tc>
        <w:tc>
          <w:tcPr>
            <w:tcW w:type="dxa" w:w="1881"/>
          </w:tcPr>
          <w:p>
            <w:r>
              <w:t>42,900,000 FDJ</w:t>
            </w:r>
          </w:p>
        </w:tc>
        <w:tc>
          <w:tcPr>
            <w:tcW w:type="dxa" w:w="1881"/>
          </w:tcPr>
          <w:p>
            <w:r>
              <w:t>35,000,000 FDJ</w:t>
            </w:r>
          </w:p>
        </w:tc>
        <w:tc>
          <w:tcPr>
            <w:tcW w:type="dxa" w:w="1881"/>
          </w:tcPr>
          <w:p>
            <w:r>
              <w:t>+22.6 %</w:t>
            </w:r>
          </w:p>
        </w:tc>
      </w:tr>
      <w:tr>
        <w:tc>
          <w:tcPr>
            <w:tcW w:type="dxa" w:w="1881"/>
          </w:tcPr>
          <w:p>
            <w:r>
              <w:t>401</w:t>
            </w:r>
          </w:p>
        </w:tc>
        <w:tc>
          <w:tcPr>
            <w:tcW w:type="dxa" w:w="1881"/>
          </w:tcPr>
          <w:p>
            <w:r>
              <w:t>Fournisseurs</w:t>
            </w:r>
          </w:p>
        </w:tc>
        <w:tc>
          <w:tcPr>
            <w:tcW w:type="dxa" w:w="1881"/>
          </w:tcPr>
          <w:p>
            <w:r>
              <w:t>-28,100,000 FDJ</w:t>
            </w:r>
          </w:p>
        </w:tc>
        <w:tc>
          <w:tcPr>
            <w:tcW w:type="dxa" w:w="1881"/>
          </w:tcPr>
          <w:p>
            <w:r>
              <w:t>-22,000,000 FDJ</w:t>
            </w:r>
          </w:p>
        </w:tc>
        <w:tc>
          <w:tcPr>
            <w:tcW w:type="dxa" w:w="1881"/>
          </w:tcPr>
          <w:p>
            <w:r>
              <w:t>-27.7 %</w:t>
            </w:r>
          </w:p>
        </w:tc>
      </w:tr>
      <w:tr>
        <w:tc>
          <w:tcPr>
            <w:tcW w:type="dxa" w:w="1881"/>
          </w:tcPr>
          <w:p>
            <w:r>
              <w:t>512</w:t>
            </w:r>
          </w:p>
        </w:tc>
        <w:tc>
          <w:tcPr>
            <w:tcW w:type="dxa" w:w="1881"/>
          </w:tcPr>
          <w:p>
            <w:r>
              <w:t>BCI</w:t>
            </w:r>
          </w:p>
        </w:tc>
        <w:tc>
          <w:tcPr>
            <w:tcW w:type="dxa" w:w="1881"/>
          </w:tcPr>
          <w:p>
            <w:r>
              <w:t>25,400,000 FDJ</w:t>
            </w:r>
          </w:p>
        </w:tc>
        <w:tc>
          <w:tcPr>
            <w:tcW w:type="dxa" w:w="1881"/>
          </w:tcPr>
          <w:p>
            <w:r>
              <w:t>20,000,000 FDJ</w:t>
            </w:r>
          </w:p>
        </w:tc>
        <w:tc>
          <w:tcPr>
            <w:tcW w:type="dxa" w:w="1881"/>
          </w:tcPr>
          <w:p>
            <w:r>
              <w:t>+27.0 %</w:t>
            </w:r>
          </w:p>
        </w:tc>
      </w:tr>
      <w:tr>
        <w:tc>
          <w:tcPr>
            <w:tcW w:type="dxa" w:w="1881"/>
          </w:tcPr>
          <w:p>
            <w:r>
              <w:t>411</w:t>
            </w:r>
          </w:p>
        </w:tc>
        <w:tc>
          <w:tcPr>
            <w:tcW w:type="dxa" w:w="1881"/>
          </w:tcPr>
          <w:p>
            <w:r>
              <w:t>Clients</w:t>
            </w:r>
          </w:p>
        </w:tc>
        <w:tc>
          <w:tcPr>
            <w:tcW w:type="dxa" w:w="1881"/>
          </w:tcPr>
          <w:p>
            <w:r>
              <w:t>0 FDJ</w:t>
            </w:r>
          </w:p>
        </w:tc>
        <w:tc>
          <w:tcPr>
            <w:tcW w:type="dxa" w:w="1881"/>
          </w:tcPr>
          <w:p>
            <w:r>
              <w:t>1,500,000 FDJ</w:t>
            </w:r>
          </w:p>
        </w:tc>
        <w:tc>
          <w:tcPr>
            <w:tcW w:type="dxa" w:w="1881"/>
          </w:tcPr>
          <w:p>
            <w:r>
              <w:t>-100.0 %</w:t>
            </w:r>
          </w:p>
        </w:tc>
      </w:tr>
      <w:tr>
        <w:tc>
          <w:tcPr>
            <w:tcW w:type="dxa" w:w="1881"/>
          </w:tcPr>
          <w:p>
            <w:r>
              <w:t>514</w:t>
            </w:r>
          </w:p>
        </w:tc>
        <w:tc>
          <w:tcPr>
            <w:tcW w:type="dxa" w:w="1881"/>
          </w:tcPr>
          <w:p>
            <w:r>
              <w:t>Banque de Djibouti</w:t>
            </w:r>
          </w:p>
        </w:tc>
        <w:tc>
          <w:tcPr>
            <w:tcW w:type="dxa" w:w="1881"/>
          </w:tcPr>
          <w:p>
            <w:r>
              <w:t>4,500,000 FDJ</w:t>
            </w:r>
          </w:p>
        </w:tc>
        <w:tc>
          <w:tcPr>
            <w:tcW w:type="dxa" w:w="1881"/>
          </w:tcPr>
          <w:p>
            <w:r>
              <w:t>3,000,000 FDJ</w:t>
            </w:r>
          </w:p>
        </w:tc>
        <w:tc>
          <w:tcPr>
            <w:tcW w:type="dxa" w:w="1881"/>
          </w:tcPr>
          <w:p>
            <w:r>
              <w:t>+50.0 %</w:t>
            </w:r>
          </w:p>
        </w:tc>
      </w:tr>
      <w:tr>
        <w:tc>
          <w:tcPr>
            <w:tcW w:type="dxa" w:w="1881"/>
          </w:tcPr>
          <w:p>
            <w:r>
              <w:t>531</w:t>
            </w:r>
          </w:p>
        </w:tc>
        <w:tc>
          <w:tcPr>
            <w:tcW w:type="dxa" w:w="1881"/>
          </w:tcPr>
          <w:p>
            <w:r>
              <w:t>Caisse</w:t>
            </w:r>
          </w:p>
        </w:tc>
        <w:tc>
          <w:tcPr>
            <w:tcW w:type="dxa" w:w="1881"/>
          </w:tcPr>
          <w:p>
            <w:r>
              <w:t>1,200,000 FDJ</w:t>
            </w:r>
          </w:p>
        </w:tc>
        <w:tc>
          <w:tcPr>
            <w:tcW w:type="dxa" w:w="1881"/>
          </w:tcPr>
          <w:p>
            <w:r>
              <w:t>800,000 FDJ</w:t>
            </w:r>
          </w:p>
        </w:tc>
        <w:tc>
          <w:tcPr>
            <w:tcW w:type="dxa" w:w="1881"/>
          </w:tcPr>
          <w:p>
            <w:r>
              <w:t>+50.0 %</w:t>
            </w:r>
          </w:p>
        </w:tc>
      </w:tr>
      <w:tr>
        <w:tc>
          <w:tcPr>
            <w:tcW w:type="dxa" w:w="1881"/>
          </w:tcPr>
          <w:p>
            <w:r>
              <w:t>606</w:t>
            </w:r>
          </w:p>
        </w:tc>
        <w:tc>
          <w:tcPr>
            <w:tcW w:type="dxa" w:w="1881"/>
          </w:tcPr>
          <w:p>
            <w:r>
              <w:t>Frais accessoires</w:t>
            </w:r>
          </w:p>
        </w:tc>
        <w:tc>
          <w:tcPr>
            <w:tcW w:type="dxa" w:w="1881"/>
          </w:tcPr>
          <w:p>
            <w:r>
              <w:t>1,700,000 FDJ</w:t>
            </w:r>
          </w:p>
        </w:tc>
        <w:tc>
          <w:tcPr>
            <w:tcW w:type="dxa" w:w="1881"/>
          </w:tcPr>
          <w:p>
            <w:r>
              <w:t>1,400,000 FDJ</w:t>
            </w:r>
          </w:p>
        </w:tc>
        <w:tc>
          <w:tcPr>
            <w:tcW w:type="dxa" w:w="1881"/>
          </w:tcPr>
          <w:p>
            <w:r>
              <w:t>+21.4 %</w:t>
            </w:r>
          </w:p>
        </w:tc>
      </w:tr>
      <w:tr>
        <w:tc>
          <w:tcPr>
            <w:tcW w:type="dxa" w:w="1881"/>
          </w:tcPr>
          <w:p>
            <w:r>
              <w:t>281</w:t>
            </w:r>
          </w:p>
        </w:tc>
        <w:tc>
          <w:tcPr>
            <w:tcW w:type="dxa" w:w="1881"/>
          </w:tcPr>
          <w:p>
            <w:r>
              <w:t>Amortissements</w:t>
            </w:r>
          </w:p>
        </w:tc>
        <w:tc>
          <w:tcPr>
            <w:tcW w:type="dxa" w:w="1881"/>
          </w:tcPr>
          <w:p>
            <w:r>
              <w:t>-600,000 FDJ</w:t>
            </w:r>
          </w:p>
        </w:tc>
        <w:tc>
          <w:tcPr>
            <w:tcW w:type="dxa" w:w="1881"/>
          </w:tcPr>
          <w:p>
            <w:r>
              <w:t>-500,000 FDJ</w:t>
            </w:r>
          </w:p>
        </w:tc>
        <w:tc>
          <w:tcPr>
            <w:tcW w:type="dxa" w:w="1881"/>
          </w:tcPr>
          <w:p>
            <w:r>
              <w:t>-20.0 %</w:t>
            </w:r>
          </w:p>
        </w:tc>
      </w:tr>
      <w:tr>
        <w:tc>
          <w:tcPr>
            <w:tcW w:type="dxa" w:w="1881"/>
          </w:tcPr>
          <w:p>
            <w:r>
              <w:t>681</w:t>
            </w:r>
          </w:p>
        </w:tc>
        <w:tc>
          <w:tcPr>
            <w:tcW w:type="dxa" w:w="1881"/>
          </w:tcPr>
          <w:p>
            <w:r>
              <w:t>Dotations amortissements</w:t>
            </w:r>
          </w:p>
        </w:tc>
        <w:tc>
          <w:tcPr>
            <w:tcW w:type="dxa" w:w="1881"/>
          </w:tcPr>
          <w:p>
            <w:r>
              <w:t>600,000 FDJ</w:t>
            </w:r>
          </w:p>
        </w:tc>
        <w:tc>
          <w:tcPr>
            <w:tcW w:type="dxa" w:w="1881"/>
          </w:tcPr>
          <w:p>
            <w:r>
              <w:t>500,000 FDJ</w:t>
            </w:r>
          </w:p>
        </w:tc>
        <w:tc>
          <w:tcPr>
            <w:tcW w:type="dxa" w:w="1881"/>
          </w:tcPr>
          <w:p>
            <w:r>
              <w:t>+20.0 %</w:t>
            </w:r>
          </w:p>
        </w:tc>
      </w:tr>
      <w:tr>
        <w:tc>
          <w:tcPr>
            <w:tcW w:type="dxa" w:w="1881"/>
          </w:tcPr>
          <w:p>
            <w:r>
              <w:t>616</w:t>
            </w:r>
          </w:p>
        </w:tc>
        <w:tc>
          <w:tcPr>
            <w:tcW w:type="dxa" w:w="1881"/>
          </w:tcPr>
          <w:p>
            <w:r>
              <w:t>Assurances</w:t>
            </w:r>
          </w:p>
        </w:tc>
        <w:tc>
          <w:tcPr>
            <w:tcW w:type="dxa" w:w="1881"/>
          </w:tcPr>
          <w:p>
            <w:r>
              <w:t>300,000 FDJ</w:t>
            </w:r>
          </w:p>
        </w:tc>
        <w:tc>
          <w:tcPr>
            <w:tcW w:type="dxa" w:w="1881"/>
          </w:tcPr>
          <w:p>
            <w:r>
              <w:t>250,000 FDJ</w:t>
            </w:r>
          </w:p>
        </w:tc>
        <w:tc>
          <w:tcPr>
            <w:tcW w:type="dxa" w:w="1881"/>
          </w:tcPr>
          <w:p>
            <w:r>
              <w:t>+20.0 %</w:t>
            </w:r>
          </w:p>
        </w:tc>
      </w:tr>
      <w:tr>
        <w:tc>
          <w:tcPr>
            <w:tcW w:type="dxa" w:w="1881"/>
          </w:tcPr>
          <w:p>
            <w:r>
              <w:t>626</w:t>
            </w:r>
          </w:p>
        </w:tc>
        <w:tc>
          <w:tcPr>
            <w:tcW w:type="dxa" w:w="1881"/>
          </w:tcPr>
          <w:p>
            <w:r>
              <w:t>Frais bancaires</w:t>
            </w:r>
          </w:p>
        </w:tc>
        <w:tc>
          <w:tcPr>
            <w:tcW w:type="dxa" w:w="1881"/>
          </w:tcPr>
          <w:p>
            <w:r>
              <w:t>40,000 FDJ</w:t>
            </w:r>
          </w:p>
        </w:tc>
        <w:tc>
          <w:tcPr>
            <w:tcW w:type="dxa" w:w="1881"/>
          </w:tcPr>
          <w:p>
            <w:r>
              <w:t>30,000 FDJ</w:t>
            </w:r>
          </w:p>
        </w:tc>
        <w:tc>
          <w:tcPr>
            <w:tcW w:type="dxa" w:w="1881"/>
          </w:tcPr>
          <w:p>
            <w:r>
              <w:t>+33.3 %</w:t>
            </w:r>
          </w:p>
        </w:tc>
      </w:tr>
    </w:tbl>
    <w:p/>
    <w:p>
      <w:pPr>
        <w:pStyle w:val="Heading2"/>
      </w:pPr>
      <w:r>
        <w:t>3.2 Interprétation</w:t>
      </w:r>
    </w:p>
    <w:p>
      <w:r>
        <w:rPr>
          <w:b w:val="0"/>
          <w:i w:val="0"/>
          <w:sz w:val="22"/>
        </w:rPr>
        <w:t>L'analyse des variations N/N-1 de la balance générale 2024 fait apparaître une dynamique d'activité soutenue, caractérisée principalement par une hausse significative des achats de marchandises (compte 607, +22,57 %), cohérente avec l'expansion commerciale d'un importateur de véhicules opérant sur les marchés de Djibouti et de la Corne de l'Afrique. En miroir, le solde fournisseurs (compte 401) s'est alourdi de 27,73 %, traduisant un recours accru au crédit fournisseur dont la proportionnalité avec les achats devra être vérifiée. La trésorerie bancaire progresse de manière notable, tant sur le compte BCI (+27 %) que sur la Banque de Djibouti (+50 %), ce qui contraste avec la disparition totale du solde clients (compte 411, -100 %), nécessitant une explication circonstanciée. Les frais accessoires (compte 606, +21,43 %), vraisemblablement composés de frais de transport, de dédouanement et de manutention, évoluent en cohérence relative avec la hausse des achats. Enfin, la légère progression des dotations aux amortissements (+20 %) suggère des acquisitions d'immobilisations en cours d'exercice, à confirmer par le tableau des immobilisations. L'ensemble de ces mouvements dessine un exercice 2024 en croissance mais porteur de plusieurs zones d'incertitude quant à la qualité des enregistrements comptables et à la gestion des cycles achats-fournisseurs et trésorerie-clients.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Cycle / Compte</w:t>
            </w:r>
          </w:p>
        </w:tc>
        <w:tc>
          <w:tcPr>
            <w:tcW w:type="dxa" w:w="3135"/>
          </w:tcPr>
          <w:p>
            <w:r>
              <w:rPr>
                <w:b/>
              </w:rPr>
              <w:t>Niveau</w:t>
            </w:r>
          </w:p>
        </w:tc>
        <w:tc>
          <w:tcPr>
            <w:tcW w:type="dxa" w:w="3135"/>
          </w:tcPr>
          <w:p>
            <w:r>
              <w:rPr>
                <w:b/>
              </w:rPr>
              <w:t>Explication</w:t>
            </w:r>
          </w:p>
        </w:tc>
      </w:tr>
      <w:tr>
        <w:tc>
          <w:tcPr>
            <w:tcW w:type="dxa" w:w="3135"/>
          </w:tcPr>
          <w:p>
            <w:r>
              <w:t>Achats de marchandises / Fournisseurs</w:t>
            </w:r>
          </w:p>
        </w:tc>
        <w:tc>
          <w:tcPr>
            <w:tcW w:type="dxa" w:w="3135"/>
          </w:tcPr>
          <w:p>
            <w:r>
              <w:t>eleve</w:t>
            </w:r>
          </w:p>
        </w:tc>
        <w:tc>
          <w:tcPr>
            <w:tcW w:type="dxa" w:w="3135"/>
          </w:tcPr>
          <w:p>
            <w:r>
              <w:t>La hausse des achats (+22,57 %) combinée à un gonflement des dettes fournisseurs (+27,73 %) soulève la question de la correcte séparation des exercices (cut-off) : des marchandises réceptionnées fin 2024 sans facture, ou des factures comptabilisées sans réception effective, pourraient gonfler artificiellement l'un ou l'autre poste. Il convient également de vérifier l'exhaustivité des charges (factures non parvenues) et l'exactitude des conditions de paiement négociées avec les fournisseurs asiatiques et européens.</w:t>
            </w:r>
          </w:p>
        </w:tc>
      </w:tr>
      <w:tr>
        <w:tc>
          <w:tcPr>
            <w:tcW w:type="dxa" w:w="3135"/>
          </w:tcPr>
          <w:p>
            <w:r>
              <w:t>Solde clients nul en N</w:t>
            </w:r>
          </w:p>
        </w:tc>
        <w:tc>
          <w:tcPr>
            <w:tcW w:type="dxa" w:w="3135"/>
          </w:tcPr>
          <w:p>
            <w:r>
              <w:t>eleve</w:t>
            </w:r>
          </w:p>
        </w:tc>
        <w:tc>
          <w:tcPr>
            <w:tcW w:type="dxa" w:w="3135"/>
          </w:tcPr>
          <w:p>
            <w:r>
              <w:t>La disparition totale du solde clients (compte 411, -100 %) est atypique pour une activité d'importation et de vente en gros/détail. Elle peut indiquer soit un encaissement intégral avant clôture (paiements comptant ou acomptes), soit un risque de non-comptabilisation de créances existantes (exhaustivité des produits), soit encore un apurement artificiel du poste par compensation ou annulation. Cette assertion d'exhaustivité des produits et de réalité des créances doit faire l'objet de procédures de confirmation directe et de rapprochement avec les bons de livraison.</w:t>
            </w:r>
          </w:p>
        </w:tc>
      </w:tr>
      <w:tr>
        <w:tc>
          <w:tcPr>
            <w:tcW w:type="dxa" w:w="3135"/>
          </w:tcPr>
          <w:p>
            <w:r>
              <w:t>Trésorerie bancaire multi-comptes en forte hausse</w:t>
            </w:r>
          </w:p>
        </w:tc>
        <w:tc>
          <w:tcPr>
            <w:tcW w:type="dxa" w:w="3135"/>
          </w:tcPr>
          <w:p>
            <w:r>
              <w:t>moyen</w:t>
            </w:r>
          </w:p>
        </w:tc>
        <w:tc>
          <w:tcPr>
            <w:tcW w:type="dxa" w:w="3135"/>
          </w:tcPr>
          <w:p>
            <w:r>
              <w:t>La progression simultanée des soldes BCI (+27 %) et Banque de Djibouti (+50 %) mérite un rapprochement bancaire rigoureux à la date de clôture. Dans un contexte d'importation internationale, des transferts de fonds inter-comptes non lettres, des dépôts de garantie douanière ou des provisions pour lettres de crédit pourraient expliquer ces hausses ; leur correcte qualification comptable doit être vérifiée. Le risque de surévaluation de la trésorerie ou d'omission de restrictions (fonds bloqués, garanties) est à écarter.</w:t>
            </w:r>
          </w:p>
        </w:tc>
      </w:tr>
      <w:tr>
        <w:tc>
          <w:tcPr>
            <w:tcW w:type="dxa" w:w="3135"/>
          </w:tcPr>
          <w:p>
            <w:r>
              <w:t>Dotations aux amortissements et immobilisations</w:t>
            </w:r>
          </w:p>
        </w:tc>
        <w:tc>
          <w:tcPr>
            <w:tcW w:type="dxa" w:w="3135"/>
          </w:tcPr>
          <w:p>
            <w:r>
              <w:t>faible</w:t>
            </w:r>
          </w:p>
        </w:tc>
        <w:tc>
          <w:tcPr>
            <w:tcW w:type="dxa" w:w="3135"/>
          </w:tcPr>
          <w:p>
            <w:r>
              <w:t>La hausse symétrique et cohérente des comptes 281 et 681 (+20 % chacun) est a priori sans anomalie, mais elle implique l'acquisition d'immobilisations nouvelles en 2024 dont l'existence, la propriété et la correcte classification (notamment véhicules de démonstration versus stock de marchandises) doivent être confirmées. Le risque de confusion entre immobilisations et stocks est particulièrement pertinent dans le secteur automobile.</w:t>
            </w:r>
          </w:p>
        </w:tc>
      </w:tr>
      <w:tr>
        <w:tc>
          <w:tcPr>
            <w:tcW w:type="dxa" w:w="3135"/>
          </w:tcPr>
          <w:p>
            <w:r>
              <w:t>Frais accessoires sur achats</w:t>
            </w:r>
          </w:p>
        </w:tc>
        <w:tc>
          <w:tcPr>
            <w:tcW w:type="dxa" w:w="3135"/>
          </w:tcPr>
          <w:p>
            <w:r>
              <w:t>moyen</w:t>
            </w:r>
          </w:p>
        </w:tc>
        <w:tc>
          <w:tcPr>
            <w:tcW w:type="dxa" w:w="3135"/>
          </w:tcPr>
          <w:p>
            <w:r>
              <w:t>La progression des frais accessoires (compte 606, +21,43 %) est cohérente avec la hausse des achats, mais dans le secteur de l'importation de véhicules, ces frais (fret, assurance transport, droits de douane, manutention portuaire) peuvent être significatifs et soumis à des règles d'incorporation au coût d'entrée des stocks (SYSCOHADA ou référentiel applicable). Le risque porte sur une charge comptabilisée en charges de période alors qu'elle devrait être incorporée au coût des marchandises, affectant ainsi la valorisation des stocks et le résultat.</w:t>
            </w:r>
          </w:p>
        </w:tc>
      </w:tr>
    </w:tbl>
    <w:p/>
    <w:p>
      <w:r>
        <w:rPr>
          <w:b w:val="0"/>
          <w:i w:val="0"/>
          <w:sz w:val="22"/>
        </w:rPr>
        <w:t>Facteurs contextuels : Le secteur de l'importation de véhicules neufs et d'occasion en provenance d'Asie et d'Europe est structurellement sensible aux fluctuations des coûts de fret maritime international, aux délais d'acheminement et aux variations des taux de change, facteurs qui peuvent mécaniquement expliquer une hausse des achats et des frais accessoires sans augmentation proportionnelle des volumes physiques importés. Par ailleurs, la dynamique économique de la Corne de l'Afrique et le rôle de hub logistique de Djibouti ont pu soutenir la demande en véhicules sur l'exercice 2024, justifiant partiellement l'accroissement du volume d'affaires. Enfin, la structure de vente en gros impliquant des clients professionnels (distributeurs régionaux) peut expliquer des modalités de règlement en avance ou par lettre de crédit qui rendraient le solde clients nul à la clôture, bien que ce point doive être documenté et corroboré.</w:t>
      </w:r>
    </w:p>
    <w:p>
      <w:pPr>
        <w:pStyle w:val="Heading2"/>
      </w:pPr>
      <w:r>
        <w:t>Points d'attention</w:t>
      </w:r>
    </w:p>
    <w:p>
      <w:pPr>
        <w:pStyle w:val="ListBullet"/>
      </w:pPr>
      <w:r>
        <w:t>INCOHÉRENCE CRITIQUE — Clients nuls vs trésorerie en hausse : le solde clients (411) tombe à zéro tandis que la trésorerie progresse fortement (+27 % BCI, +50 % Banque de Djibouti). Si l'explication est un encaissement intégral des créances, l'auditeur doit s'assurer que le produit correspondant a bien été comptabilisé en N et non anticipé en N-1, et que la trésorerie reçue est effective (pas de chèques non encaissés ou virements en cours non réellement disponibles à la clôture).</w:t>
      </w:r>
    </w:p>
    <w:p>
      <w:pPr>
        <w:pStyle w:val="ListBullet"/>
      </w:pPr>
      <w:r>
        <w:t>RISQUE DE CUT-OFF ACHATS : l'écart de croissance entre les achats (+22,57 %) et les dettes fournisseurs (+27,73 %) n'est pas proportionnel, ce qui peut indiquer des marchandises en transit ou réceptionnées non encore facturées (charges à payer à provisionner) ou, à l'inverse, des factures comptabilisées sans livraison effective à la clôture. Un inventaire physique des véhicules en stock à fin 2024 et un contrôle des bons de réception autour de la date de clôture sont indispensables.</w:t>
      </w:r>
    </w:p>
    <w:p>
      <w:pPr>
        <w:pStyle w:val="ListBullet"/>
      </w:pPr>
      <w:r>
        <w:t>RISQUE DE CONFUSION STOCK / IMMOBILISATIONS : dans une société d'importation de véhicules, les véhicules destinés à la vente (stock, compte 37) doivent être strictement distingués des véhicules utilisés pour l'exploitation (immobilisations, compte 24). La hausse des amortissements en N suggère des entrées d'immobilisations ; l'auditeur doit vérifier qu'aucun véhicule de stock n'a été classifié en immobilisation, ce qui minorerait les achats et le coût des ventes.</w:t>
      </w:r>
    </w:p>
    <w:p>
      <w:pPr>
        <w:pStyle w:val="ListBullet"/>
      </w:pPr>
      <w:r>
        <w:t>ABSENCE DE SEUIL DE SIGNIFICATION FORMALISÉ : l'absence de seuil de signification défini pour la mission constitue en elle-même un risque de pilotage de l'audit ; il est recommandé de formaliser ce seuil avant la conclusion des travaux afin de s'assurer que les diligences mises en œuvre sont proportionnées aux enjeux financiers identifiés.</w:t>
      </w:r>
    </w:p>
    <w:p>
      <w:r>
        <w:br w:type="page"/>
      </w:r>
    </w:p>
    <w:p>
      <w:pPr>
        <w:pStyle w:val="Heading1"/>
      </w:pPr>
      <w:r>
        <w:rPr>
          <w:color w:val="4F46E5"/>
        </w:rPr>
        <w:t>4. Seuil de signification (ISA 320)</w:t>
      </w:r>
    </w:p>
    <w:p>
      <w:pPr>
        <w:pStyle w:val="Heading2"/>
      </w:pPr>
      <w:r>
        <w:t>4.1 Base de calcul et paramètres retenus</w:t>
      </w:r>
    </w:p>
    <w:p>
      <w:r>
        <w:rPr>
          <w:b/>
          <w:sz w:val="22"/>
        </w:rPr>
        <w:t xml:space="preserve">Agrégat retenu : </w:t>
      </w:r>
      <w:r>
        <w:rPr>
          <w:sz w:val="22"/>
        </w:rPr>
        <w:t>total_bilan</w:t>
      </w:r>
      <w:r>
        <w:br/>
      </w:r>
      <w:r>
        <w:rPr>
          <w:b/>
          <w:sz w:val="22"/>
        </w:rPr>
        <w:t xml:space="preserve">Valeur de l'agrégat : </w:t>
      </w:r>
      <w:r>
        <w:rPr>
          <w:sz w:val="22"/>
        </w:rPr>
        <w:t>31,200,000 FDJ</w:t>
      </w:r>
      <w:r>
        <w:br/>
      </w:r>
      <w:r>
        <w:rPr>
          <w:b/>
          <w:sz w:val="22"/>
        </w:rPr>
        <w:t xml:space="preserve">Taux de signification : </w:t>
      </w:r>
      <w:r>
        <w:rPr>
          <w:sz w:val="22"/>
        </w:rPr>
        <w:t>0.01 %</w:t>
      </w:r>
      <w:r>
        <w:br/>
      </w:r>
      <w:r>
        <w:rPr>
          <w:b/>
          <w:sz w:val="22"/>
        </w:rPr>
        <w:t xml:space="preserve">Taux de planification : </w:t>
      </w:r>
      <w:r>
        <w:rPr>
          <w:sz w:val="22"/>
        </w:rPr>
        <w:t>0.75 %</w:t>
      </w:r>
      <w:r>
        <w:br/>
      </w:r>
      <w:r>
        <w:rPr>
          <w:b/>
          <w:sz w:val="22"/>
        </w:rPr>
        <w:t xml:space="preserve">Seuil de signification : </w:t>
      </w:r>
      <w:r>
        <w:rPr>
          <w:sz w:val="22"/>
        </w:rPr>
        <w:t>312,000 FDJ</w:t>
      </w:r>
      <w:r>
        <w:br/>
      </w:r>
      <w:r>
        <w:rPr>
          <w:b/>
          <w:sz w:val="22"/>
        </w:rPr>
        <w:t xml:space="preserve">Seuil de planification : </w:t>
      </w:r>
      <w:r>
        <w:rPr>
          <w:sz w:val="22"/>
        </w:rPr>
        <w:t>234,000 FDJ</w:t>
      </w:r>
      <w:r>
        <w:br/>
      </w:r>
    </w:p>
    <w:p>
      <w:pPr>
        <w:pStyle w:val="Heading2"/>
      </w:pPr>
      <w:r>
        <w:t>4.2 Justification du seuil retenu</w:t>
      </w:r>
    </w:p>
    <w:p>
      <w:r>
        <w:rPr>
          <w:b w:val="0"/>
          <w:i w:val="0"/>
          <w:sz w:val="22"/>
        </w:rPr>
        <w:t>Le seuil de signification de 312,000 FDJ (0.01 % de total_bilan) est le montant au-delà duquel une anomalie, prise isolément ou EN CUMUL avec les autres anomalies non corrigées (ISA 450), est susceptible d'influencer le jugement d'un utilisateur des comptes et d'affecter l'opinion d'audit. Une anomalie inférieure au seuil ne peut être considérée comme sans incidence qu'après agrégation avec l'ensemble des anomalies non corrigées relevées au cours de la mission. Le seuil de planification de 234,000 FDJ (0.75 %) est appliqué pour les tests de détail afin de conserver une marge de sécurité permettant d'absorber les anomalies non détectées. Ces paramètres sont conformes aux pratiques professionnelles et aux exigences de la norme ISA 320.</w:t>
      </w:r>
    </w:p>
    <w:p>
      <w:r>
        <w:br w:type="page"/>
      </w:r>
    </w:p>
    <w:p>
      <w:pPr>
        <w:pStyle w:val="Heading1"/>
      </w:pPr>
      <w:r>
        <w:rPr>
          <w:color w:val="4F46E5"/>
        </w:rPr>
        <w:t>5. Cartographie des risques (ISA 315)</w:t>
      </w:r>
    </w:p>
    <w:p>
      <w:r>
        <w:rPr>
          <w:b w:val="0"/>
          <w:i w:val="0"/>
          <w:sz w:val="22"/>
        </w:rPr>
        <w:t>12 risque(s) identifié(s) et validé(s) pour cette mission.</w:t>
      </w:r>
    </w:p>
    <w:p>
      <w:r>
        <w:rPr>
          <w:b w:val="0"/>
          <w:i w:val="0"/>
          <w:sz w:val="22"/>
        </w:rPr>
        <w:t>Dont : 5 élevé(s), 5 moyen(s), 2 faible(s).</w:t>
      </w:r>
    </w:p>
    <w:p/>
    <w:p>
      <w:pPr>
        <w:pStyle w:val="Heading2"/>
      </w:pPr>
      <w:r>
        <w:t>Cycle : Achats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Cut-off achats : réceptions sans facture en fin d'exercice</w:t>
            </w:r>
          </w:p>
        </w:tc>
        <w:tc>
          <w:tcPr>
            <w:tcW w:type="dxa" w:w="1881"/>
          </w:tcPr>
          <w:p>
            <w:r>
              <w:t>ÉLEVÉ</w:t>
            </w:r>
          </w:p>
        </w:tc>
        <w:tc>
          <w:tcPr>
            <w:tcW w:type="dxa" w:w="1881"/>
          </w:tcPr>
          <w:p>
            <w:r>
              <w:t>IA</w:t>
            </w:r>
          </w:p>
        </w:tc>
        <w:tc>
          <w:tcPr>
            <w:tcW w:type="dxa" w:w="1881"/>
          </w:tcPr>
          <w:p>
            <w:r>
              <w:t>cut_off, exhaustivite, evaluation</w:t>
            </w:r>
          </w:p>
        </w:tc>
        <w:tc>
          <w:tcPr>
            <w:tcW w:type="dxa" w:w="1881"/>
          </w:tcPr>
          <w:p>
            <w:r/>
          </w:p>
        </w:tc>
      </w:tr>
      <w:tr>
        <w:tc>
          <w:tcPr>
            <w:tcW w:type="dxa" w:w="1881"/>
          </w:tcPr>
          <w:p>
            <w:r>
              <w:t>Exhaustivité des dettes fournisseurs : factures non parvenues</w:t>
            </w:r>
          </w:p>
        </w:tc>
        <w:tc>
          <w:tcPr>
            <w:tcW w:type="dxa" w:w="1881"/>
          </w:tcPr>
          <w:p>
            <w:r>
              <w:t>ÉLEVÉ</w:t>
            </w:r>
          </w:p>
        </w:tc>
        <w:tc>
          <w:tcPr>
            <w:tcW w:type="dxa" w:w="1881"/>
          </w:tcPr>
          <w:p>
            <w:r>
              <w:t>IA</w:t>
            </w:r>
          </w:p>
        </w:tc>
        <w:tc>
          <w:tcPr>
            <w:tcW w:type="dxa" w:w="1881"/>
          </w:tcPr>
          <w:p>
            <w:r>
              <w:t>exhaustivite, cut_off, evaluation</w:t>
            </w:r>
          </w:p>
        </w:tc>
        <w:tc>
          <w:tcPr>
            <w:tcW w:type="dxa" w:w="1881"/>
          </w:tcPr>
          <w:p>
            <w:r/>
          </w:p>
        </w:tc>
      </w:tr>
      <w:tr>
        <w:tc>
          <w:tcPr>
            <w:tcW w:type="dxa" w:w="1881"/>
          </w:tcPr>
          <w:p>
            <w:r>
              <w:t>Incorporation des frais accessoires au coût d'entrée des stocks</w:t>
            </w:r>
          </w:p>
        </w:tc>
        <w:tc>
          <w:tcPr>
            <w:tcW w:type="dxa" w:w="1881"/>
          </w:tcPr>
          <w:p>
            <w:r>
              <w:t>MOYEN</w:t>
            </w:r>
          </w:p>
        </w:tc>
        <w:tc>
          <w:tcPr>
            <w:tcW w:type="dxa" w:w="1881"/>
          </w:tcPr>
          <w:p>
            <w:r>
              <w:t>IA</w:t>
            </w:r>
          </w:p>
        </w:tc>
        <w:tc>
          <w:tcPr>
            <w:tcW w:type="dxa" w:w="1881"/>
          </w:tcPr>
          <w:p>
            <w:r>
              <w:t>evaluation, cut_off, presentation</w:t>
            </w:r>
          </w:p>
        </w:tc>
        <w:tc>
          <w:tcPr>
            <w:tcW w:type="dxa" w:w="1881"/>
          </w:tcPr>
          <w:p>
            <w:r/>
          </w:p>
        </w:tc>
      </w:tr>
      <w:tr>
        <w:tc>
          <w:tcPr>
            <w:tcW w:type="dxa" w:w="1881"/>
          </w:tcPr>
          <w:p>
            <w:r>
              <w:t>Évaluation des dettes fournisseurs en devises étrangères</w:t>
            </w:r>
          </w:p>
        </w:tc>
        <w:tc>
          <w:tcPr>
            <w:tcW w:type="dxa" w:w="1881"/>
          </w:tcPr>
          <w:p>
            <w:r>
              <w:t>MOYEN</w:t>
            </w:r>
          </w:p>
        </w:tc>
        <w:tc>
          <w:tcPr>
            <w:tcW w:type="dxa" w:w="1881"/>
          </w:tcPr>
          <w:p>
            <w:r>
              <w:t>IA</w:t>
            </w:r>
          </w:p>
        </w:tc>
        <w:tc>
          <w:tcPr>
            <w:tcW w:type="dxa" w:w="1881"/>
          </w:tcPr>
          <w:p>
            <w:r>
              <w:t>evaluation, presentation</w:t>
            </w:r>
          </w:p>
        </w:tc>
        <w:tc>
          <w:tcPr>
            <w:tcW w:type="dxa" w:w="1881"/>
          </w:tcPr>
          <w:p>
            <w:r/>
          </w:p>
        </w:tc>
      </w:tr>
      <w:tr>
        <w:tc>
          <w:tcPr>
            <w:tcW w:type="dxa" w:w="1881"/>
          </w:tcPr>
          <w:p>
            <w:r>
              <w:t>Séparation des fonctions et autorisation des règlements fournisseurs</w:t>
            </w:r>
          </w:p>
        </w:tc>
        <w:tc>
          <w:tcPr>
            <w:tcW w:type="dxa" w:w="1881"/>
          </w:tcPr>
          <w:p>
            <w:r>
              <w:t>MOYEN</w:t>
            </w:r>
          </w:p>
        </w:tc>
        <w:tc>
          <w:tcPr>
            <w:tcW w:type="dxa" w:w="1881"/>
          </w:tcPr>
          <w:p>
            <w:r>
              <w:t>IA</w:t>
            </w:r>
          </w:p>
        </w:tc>
        <w:tc>
          <w:tcPr>
            <w:tcW w:type="dxa" w:w="1881"/>
          </w:tcPr>
          <w:p>
            <w:r>
              <w:t>existence, droits</w:t>
            </w:r>
          </w:p>
        </w:tc>
        <w:tc>
          <w:tcPr>
            <w:tcW w:type="dxa" w:w="1881"/>
          </w:tcPr>
          <w:p>
            <w:r/>
          </w:p>
        </w:tc>
      </w:tr>
    </w:tbl>
    <w:p/>
    <w:p>
      <w:pPr>
        <w:pStyle w:val="Heading2"/>
      </w:pPr>
      <w:r>
        <w:t>Cycle : Transversal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Confusion immobilisations / stocks : véhicules de démonstration</w:t>
            </w:r>
          </w:p>
        </w:tc>
        <w:tc>
          <w:tcPr>
            <w:tcW w:type="dxa" w:w="1881"/>
          </w:tcPr>
          <w:p>
            <w:r>
              <w:t>FAIBLE</w:t>
            </w:r>
          </w:p>
        </w:tc>
        <w:tc>
          <w:tcPr>
            <w:tcW w:type="dxa" w:w="1881"/>
          </w:tcPr>
          <w:p>
            <w:r>
              <w:t>IA</w:t>
            </w:r>
          </w:p>
        </w:tc>
        <w:tc>
          <w:tcPr>
            <w:tcW w:type="dxa" w:w="1881"/>
          </w:tcPr>
          <w:p>
            <w:r>
              <w:t>evaluation, presentation, droits</w:t>
            </w:r>
          </w:p>
        </w:tc>
        <w:tc>
          <w:tcPr>
            <w:tcW w:type="dxa" w:w="1881"/>
          </w:tcPr>
          <w:p>
            <w:r/>
          </w:p>
        </w:tc>
      </w:tr>
      <w:tr>
        <w:tc>
          <w:tcPr>
            <w:tcW w:type="dxa" w:w="1881"/>
          </w:tcPr>
          <w:p>
            <w:r>
              <w:t>Existence et propriété des immobilisations acquises en 2024</w:t>
            </w:r>
          </w:p>
        </w:tc>
        <w:tc>
          <w:tcPr>
            <w:tcW w:type="dxa" w:w="1881"/>
          </w:tcPr>
          <w:p>
            <w:r>
              <w:t>FAIBLE</w:t>
            </w:r>
          </w:p>
        </w:tc>
        <w:tc>
          <w:tcPr>
            <w:tcW w:type="dxa" w:w="1881"/>
          </w:tcPr>
          <w:p>
            <w:r>
              <w:t>IA</w:t>
            </w:r>
          </w:p>
        </w:tc>
        <w:tc>
          <w:tcPr>
            <w:tcW w:type="dxa" w:w="1881"/>
          </w:tcPr>
          <w:p>
            <w:r>
              <w:t>existence, droits, cut_off</w:t>
            </w:r>
          </w:p>
        </w:tc>
        <w:tc>
          <w:tcPr>
            <w:tcW w:type="dxa" w:w="1881"/>
          </w:tcPr>
          <w:p>
            <w:r/>
          </w:p>
        </w:tc>
      </w:tr>
      <w:tr>
        <w:tc>
          <w:tcPr>
            <w:tcW w:type="dxa" w:w="1881"/>
          </w:tcPr>
          <w:p>
            <w:r>
              <w:t>Risque de fraude lié à la jeunesse de l'entité et au contrôle interne</w:t>
            </w:r>
          </w:p>
        </w:tc>
        <w:tc>
          <w:tcPr>
            <w:tcW w:type="dxa" w:w="1881"/>
          </w:tcPr>
          <w:p>
            <w:r>
              <w:t>ÉLEVÉ</w:t>
            </w:r>
          </w:p>
        </w:tc>
        <w:tc>
          <w:tcPr>
            <w:tcW w:type="dxa" w:w="1881"/>
          </w:tcPr>
          <w:p>
            <w:r>
              <w:t>IA</w:t>
            </w:r>
          </w:p>
        </w:tc>
        <w:tc>
          <w:tcPr>
            <w:tcW w:type="dxa" w:w="1881"/>
          </w:tcPr>
          <w:p>
            <w:r>
              <w:t>existence, exhaustivite, droits</w:t>
            </w:r>
          </w:p>
        </w:tc>
        <w:tc>
          <w:tcPr>
            <w:tcW w:type="dxa" w:w="1881"/>
          </w:tcPr>
          <w:p>
            <w:r/>
          </w:p>
        </w:tc>
      </w:tr>
    </w:tbl>
    <w:p/>
    <w:p>
      <w:pPr>
        <w:pStyle w:val="Heading2"/>
      </w:pPr>
      <w:r>
        <w:t>Cycle : Tresorerie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Exactitude des rapprochements bancaires multi-comptes</w:t>
            </w:r>
          </w:p>
        </w:tc>
        <w:tc>
          <w:tcPr>
            <w:tcW w:type="dxa" w:w="1881"/>
          </w:tcPr>
          <w:p>
            <w:r>
              <w:t>MOYEN</w:t>
            </w:r>
          </w:p>
        </w:tc>
        <w:tc>
          <w:tcPr>
            <w:tcW w:type="dxa" w:w="1881"/>
          </w:tcPr>
          <w:p>
            <w:r>
              <w:t>IA</w:t>
            </w:r>
          </w:p>
        </w:tc>
        <w:tc>
          <w:tcPr>
            <w:tcW w:type="dxa" w:w="1881"/>
          </w:tcPr>
          <w:p>
            <w:r>
              <w:t>existence, evaluation, presentation</w:t>
            </w:r>
          </w:p>
        </w:tc>
        <w:tc>
          <w:tcPr>
            <w:tcW w:type="dxa" w:w="1881"/>
          </w:tcPr>
          <w:p>
            <w:r/>
          </w:p>
        </w:tc>
      </w:tr>
      <w:tr>
        <w:tc>
          <w:tcPr>
            <w:tcW w:type="dxa" w:w="1881"/>
          </w:tcPr>
          <w:p>
            <w:r>
              <w:t>Fonds bloqués ou restreints non identifiés en trésorerie</w:t>
            </w:r>
          </w:p>
        </w:tc>
        <w:tc>
          <w:tcPr>
            <w:tcW w:type="dxa" w:w="1881"/>
          </w:tcPr>
          <w:p>
            <w:r>
              <w:t>MOYEN</w:t>
            </w:r>
          </w:p>
        </w:tc>
        <w:tc>
          <w:tcPr>
            <w:tcW w:type="dxa" w:w="1881"/>
          </w:tcPr>
          <w:p>
            <w:r>
              <w:t>IA</w:t>
            </w:r>
          </w:p>
        </w:tc>
        <w:tc>
          <w:tcPr>
            <w:tcW w:type="dxa" w:w="1881"/>
          </w:tcPr>
          <w:p>
            <w:r>
              <w:t>presentation, evaluation, droits</w:t>
            </w:r>
          </w:p>
        </w:tc>
        <w:tc>
          <w:tcPr>
            <w:tcW w:type="dxa" w:w="1881"/>
          </w:tcPr>
          <w:p>
            <w:r/>
          </w:p>
        </w:tc>
      </w:tr>
    </w:tbl>
    <w:p/>
    <w:p>
      <w:pPr>
        <w:pStyle w:val="Heading2"/>
      </w:pPr>
      <w:r>
        <w:t>Cycle : Ventes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Disparition totale du solde clients : exhaustivité des produits</w:t>
            </w:r>
          </w:p>
        </w:tc>
        <w:tc>
          <w:tcPr>
            <w:tcW w:type="dxa" w:w="1881"/>
          </w:tcPr>
          <w:p>
            <w:r>
              <w:t>ÉLEVÉ</w:t>
            </w:r>
          </w:p>
        </w:tc>
        <w:tc>
          <w:tcPr>
            <w:tcW w:type="dxa" w:w="1881"/>
          </w:tcPr>
          <w:p>
            <w:r>
              <w:t>IA</w:t>
            </w:r>
          </w:p>
        </w:tc>
        <w:tc>
          <w:tcPr>
            <w:tcW w:type="dxa" w:w="1881"/>
          </w:tcPr>
          <w:p>
            <w:r>
              <w:t>exhaustivite, existence, cut_off</w:t>
            </w:r>
          </w:p>
        </w:tc>
        <w:tc>
          <w:tcPr>
            <w:tcW w:type="dxa" w:w="1881"/>
          </w:tcPr>
          <w:p>
            <w:r/>
          </w:p>
        </w:tc>
      </w:tr>
      <w:tr>
        <w:tc>
          <w:tcPr>
            <w:tcW w:type="dxa" w:w="1881"/>
          </w:tcPr>
          <w:p>
            <w:r>
              <w:t>Réalité des encaissements clients et mode de règlement</w:t>
            </w:r>
          </w:p>
        </w:tc>
        <w:tc>
          <w:tcPr>
            <w:tcW w:type="dxa" w:w="1881"/>
          </w:tcPr>
          <w:p>
            <w:r>
              <w:t>ÉLEVÉ</w:t>
            </w:r>
          </w:p>
        </w:tc>
        <w:tc>
          <w:tcPr>
            <w:tcW w:type="dxa" w:w="1881"/>
          </w:tcPr>
          <w:p>
            <w:r>
              <w:t>IA</w:t>
            </w:r>
          </w:p>
        </w:tc>
        <w:tc>
          <w:tcPr>
            <w:tcW w:type="dxa" w:w="1881"/>
          </w:tcPr>
          <w:p>
            <w:r>
              <w:t>existence, evaluation, presentation</w:t>
            </w:r>
          </w:p>
        </w:tc>
        <w:tc>
          <w:tcPr>
            <w:tcW w:type="dxa" w:w="1881"/>
          </w:tcPr>
          <w:p>
            <w:r/>
          </w:p>
        </w:tc>
      </w:tr>
    </w:tbl>
    <w:p/>
    <w:p>
      <w:r>
        <w:br w:type="page"/>
      </w:r>
    </w:p>
    <w:p>
      <w:pPr>
        <w:pStyle w:val="Heading1"/>
      </w:pPr>
      <w:r>
        <w:rPr>
          <w:color w:val="4F46E5"/>
        </w:rPr>
        <w:t>6. Programme de travail (ISA 300 / ISA 330)</w:t>
      </w:r>
    </w:p>
    <w:p>
      <w:r>
        <w:rPr>
          <w:b w:val="0"/>
          <w:i w:val="0"/>
          <w:sz w:val="22"/>
        </w:rPr>
        <w:t>0 contrôle(s) inclus dans le programme sur 0 planifiés. 0 contrôle(s) exclu(s) sur la base du niveau de risque et du seuil de signification.</w:t>
      </w:r>
    </w:p>
    <w:p>
      <w:r>
        <w:br w:type="page"/>
      </w:r>
    </w:p>
    <w:p>
      <w:pPr>
        <w:pStyle w:val="Heading1"/>
      </w:pPr>
      <w:r>
        <w:rPr>
          <w:color w:val="4F46E5"/>
        </w:rPr>
        <w:t>7. Synthèse et conclusion</w:t>
      </w:r>
    </w:p>
    <w:p>
      <w:r>
        <w:rPr>
          <w:b/>
          <w:i w:val="0"/>
          <w:sz w:val="22"/>
        </w:rPr>
        <w:t>Note de synthèse</w:t>
      </w:r>
    </w:p>
    <w:p/>
    <w:p/>
    <w:p>
      <w:pPr>
        <w:spacing w:after="0"/>
      </w:pPr>
      <w:r>
        <w:rPr>
          <w:sz w:val="16"/>
        </w:rPr>
        <w:t>────────────────────────────────────────────────────────────────────────────────</w:t>
      </w:r>
    </w:p>
    <w:p/>
    <w:p>
      <w:r>
        <w:rPr>
          <w:b/>
        </w:rPr>
        <w:t>Validation par l'auditeur responsable de la mission</w:t>
        <w:br/>
        <w:br/>
      </w:r>
      <w:r>
        <w:t xml:space="preserve">Nom : ___________________________          </w:t>
      </w:r>
      <w:r>
        <w:t>Date : ___________________________</w:t>
        <w:br/>
        <w:br/>
      </w:r>
      <w:r>
        <w:t>Signature : ___________________________</w:t>
      </w:r>
    </w:p>
    <w:p/>
    <w:p>
      <w:pPr>
        <w:spacing w:after="0"/>
      </w:pPr>
      <w:r>
        <w:rPr>
          <w:sz w:val="16"/>
        </w:rPr>
        <w:t>────────────────────────────────────────────────────────────────────────────────</w:t>
      </w:r>
    </w:p>
    <w:p>
      <w:pPr>
        <w:jc w:val="center"/>
      </w:pPr>
      <w:r>
        <w:rPr>
          <w:i/>
          <w:sz w:val="18"/>
        </w:rPr>
        <w:t>Document généré par Probare le 07/07/2026 12:30 UTC · Document confidentiel · Dossier de travail ISA 230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