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HARBI MATÉRIAUX SARL — Dossier permanent (extrait)</w:t>
      </w:r>
    </w:p>
    <w:p>
      <w:pPr>
        <w:pStyle w:val="Heading1"/>
      </w:pPr>
      <w:r>
        <w:t>1. Présentation de la société</w:t>
      </w:r>
    </w:p>
    <w:p>
      <w:r>
        <w:t>HARBI MATÉRIAUX SARL est une société à responsabilité limitée de droit djiboutien créée le 18 mars 2014, au capital de 40 000 000 FDJ détenu à 65 % par le gérant M. Ahmed Harbi et à 35 % par sa famille. Elle exerce une activité de négoce de matériaux de construction (ciment, fer à béton, tôles, peintures) importés via le port de Djibouti et revendus à une clientèle locale d'entreprises du BTP et de particuliers. Effectif : 14 salariés. L'entrepôt principal est loué dans le quartier de Boulaos (loyer mensuel 500 000 FDJ).</w:t>
      </w:r>
    </w:p>
    <w:p>
      <w:pPr>
        <w:pStyle w:val="Heading1"/>
      </w:pPr>
      <w:r>
        <w:t>2. Environnement comptable et contrôle interne</w:t>
      </w:r>
    </w:p>
    <w:p>
      <w:r>
        <w:t>La comptabilité est tenue sur un logiciel simple par un comptable unique, supervisé à distance par un cabinet d'expertise comptable (honoraires annuels 975 340 FDJ). La facturation est réalisée sous Excel puis ressaisie en comptabilité — il n'existe pas d'interface automatique, ni de séparation des tâches formalisée entre facturation, encaissement et enregistrement. La société détient un compte bancaire unique à la BCIMR et une caisse pour les ventes au comptant, remise en banque en début de mois suivant.</w:t>
      </w:r>
    </w:p>
    <w:p>
      <w:pPr>
        <w:pStyle w:val="Heading1"/>
      </w:pPr>
      <w:r>
        <w:t>3. Financement</w:t>
      </w:r>
    </w:p>
    <w:p>
      <w:r>
        <w:t>Emprunt moyen terme BCIMR souscrit en 2022 (solde au 01/01/2025 : 18 000 000 FDJ), remboursable par échéances trimestrielles de 1 500 000 FDJ en capital, intérêts dégressifs. Dernière échéance prévue en 2027.</w:t>
      </w:r>
    </w:p>
    <w:p>
      <w:pPr>
        <w:pStyle w:val="Heading1"/>
      </w:pPr>
      <w:r>
        <w:t>4. Faits marquants de l'exercice 2025</w:t>
      </w:r>
    </w:p>
    <w:p>
      <w:pPr>
        <w:pStyle w:val="ListBullet"/>
      </w:pPr>
      <w:r>
        <w:t>Croissance soutenue du chiffre d'affaires (environ +30 %) portée par plusieurs chantiers publics.</w:t>
      </w:r>
    </w:p>
    <w:p>
      <w:pPr>
        <w:pStyle w:val="ListBullet"/>
      </w:pPr>
      <w:r>
        <w:t>Acquisition en juin 2025 de rayonnages d'entrepôt et de mobilier (3 500 000 FDJ).</w:t>
      </w:r>
    </w:p>
    <w:p>
      <w:pPr>
        <w:pStyle w:val="ListBullet"/>
      </w:pPr>
      <w:r>
        <w:t>Allongement des délais de règlement clients au second semestre.</w:t>
      </w:r>
    </w:p>
    <w:p>
      <w:pPr>
        <w:pStyle w:val="ListBullet"/>
      </w:pPr>
      <w:r>
        <w:t>Un litige avec le client SOMACO TP sur une facture de février 2025 (2 447 350 FDJ) non réglée à la clôture.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