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6"/>
        </w:rPr>
        <w:t>PROBARE</w:t>
      </w:r>
    </w:p>
    <w:p>
      <w:pPr>
        <w:jc w:val="center"/>
      </w:pPr>
      <w:r>
        <w:rPr>
          <w:i/>
        </w:rPr>
        <w:t>Logiciel d'audit IA-first — Djibouti</w:t>
      </w:r>
    </w:p>
    <w:p/>
    <w:p>
      <w:pPr>
        <w:pStyle w:val="Title"/>
        <w:jc w:val="center"/>
      </w:pPr>
      <w:r>
        <w:t>NOTE DE PLANIFICATION DE L'AUDIT</w:t>
      </w:r>
    </w:p>
    <w:p/>
    <w:p>
      <w:pPr>
        <w:spacing w:after="0"/>
      </w:pPr>
      <w:r>
        <w:rPr>
          <w:sz w:val="16"/>
        </w:rPr>
        <w:t>────────────────────────────────────────────────────────────────────────────────</w:t>
      </w:r>
    </w:p>
    <w:p/>
    <w:p>
      <w:pPr>
        <w:jc w:val="center"/>
      </w:pPr>
      <w:r>
        <w:rPr>
          <w:sz w:val="24"/>
        </w:rPr>
        <w:t>Entité auditée : HARBI MATERIAUX SARL</w:t>
        <w:br/>
      </w:r>
      <w:r>
        <w:rPr>
          <w:sz w:val="24"/>
        </w:rPr>
        <w:t>Exercice : 2025</w:t>
        <w:br/>
      </w:r>
      <w:r>
        <w:rPr>
          <w:sz w:val="24"/>
        </w:rPr>
        <w:t>Date d'émission : 08/07/2026 10:56 UTC</w:t>
        <w:br/>
      </w:r>
      <w:r>
        <w:rPr>
          <w:sz w:val="24"/>
        </w:rPr>
        <w:t>Référentiel : ISA 300 — Planification</w:t>
        <w:br/>
      </w:r>
      <w:r>
        <w:rPr>
          <w:sz w:val="24"/>
        </w:rPr>
        <w:t>Statut : Document de travail — CONFIDENTIEL</w:t>
        <w:br/>
      </w:r>
    </w:p>
    <w:p/>
    <w:p>
      <w:pPr>
        <w:spacing w:after="0"/>
      </w:pPr>
      <w:r>
        <w:rPr>
          <w:sz w:val="16"/>
        </w:rPr>
        <w:t>────────────────────────────────────────────────────────────────────────────────</w:t>
      </w:r>
    </w:p>
    <w:p>
      <w:r>
        <w:br w:type="page"/>
      </w:r>
    </w:p>
    <w:p>
      <w:pPr>
        <w:pStyle w:val="Heading1"/>
      </w:pPr>
      <w:r>
        <w:rPr>
          <w:color w:val="4F46E5"/>
        </w:rPr>
        <w:t>Sommaire</w:t>
      </w:r>
    </w:p>
    <w:p>
      <w:pPr>
        <w:pStyle w:val="ListNumber"/>
      </w:pPr>
      <w:r>
        <w:t>1. Cadre et objectifs de la mission</w:t>
      </w:r>
    </w:p>
    <w:p>
      <w:pPr>
        <w:pStyle w:val="ListNumber"/>
      </w:pPr>
      <w:r>
        <w:t>2. Connaissance de l'entité (ISA 315)</w:t>
      </w:r>
    </w:p>
    <w:p>
      <w:pPr>
        <w:pStyle w:val="ListNumber"/>
      </w:pPr>
      <w:r>
        <w:t>3. Procédures analytiques préliminaires (ISA 520)</w:t>
      </w:r>
    </w:p>
    <w:p>
      <w:pPr>
        <w:pStyle w:val="ListNumber"/>
      </w:pPr>
      <w:r>
        <w:t>4. Seuil de signification (ISA 320)</w:t>
      </w:r>
    </w:p>
    <w:p>
      <w:pPr>
        <w:pStyle w:val="ListNumber"/>
      </w:pPr>
      <w:r>
        <w:t>5. Cartographie des risques (ISA 315)</w:t>
      </w:r>
    </w:p>
    <w:p>
      <w:pPr>
        <w:pStyle w:val="ListNumber"/>
      </w:pPr>
      <w:r>
        <w:t>6. Programme de travail (ISA 300 / ISA 330)</w:t>
      </w:r>
    </w:p>
    <w:p>
      <w:pPr>
        <w:pStyle w:val="ListNumber"/>
      </w:pPr>
      <w:r>
        <w:t>7. Synthèse et conclusion</w:t>
      </w:r>
    </w:p>
    <w:p>
      <w:r>
        <w:br w:type="page"/>
      </w:r>
    </w:p>
    <w:p>
      <w:pPr>
        <w:pStyle w:val="Heading1"/>
      </w:pPr>
      <w:r>
        <w:rPr>
          <w:color w:val="4F46E5"/>
        </w:rPr>
        <w:t>1. Cadre et objectifs de la mission</w:t>
      </w:r>
    </w:p>
    <w:p>
      <w:r>
        <w:rPr>
          <w:b w:val="0"/>
          <w:i w:val="0"/>
          <w:sz w:val="22"/>
        </w:rPr>
        <w:t>La présente note de planification est établie conformément à la norme ISA 300 pour la mission d'audit des comptes de l'exercice 2025 de l'entité HARBI MATERIAUX SARL. Elle constitue un document de travail confidentiel intégré au dossier d'audit et doit être conservée pendant la durée légale (5 ans).</w:t>
      </w:r>
    </w:p>
    <w:p>
      <w:pPr>
        <w:pStyle w:val="Heading2"/>
      </w:pPr>
      <w:r>
        <w:t>1.1 Objectifs de l'audit</w:t>
      </w:r>
    </w:p>
    <w:p>
      <w:r>
        <w:rPr>
          <w:b w:val="0"/>
          <w:i w:val="0"/>
          <w:sz w:val="22"/>
        </w:rPr>
        <w:t>L'audit a pour objectif d'émettre une opinion sur la régularité, la sincérité et l'image fidèle des états financiers. Cet objectif est atteint par la mise en œuvre de diligences adaptées aux risques identifiés lors de la présente phase de planification.</w:t>
      </w:r>
    </w:p>
    <w:p>
      <w:pPr>
        <w:pStyle w:val="Heading2"/>
      </w:pPr>
      <w:r>
        <w:t>1.2 Référentiels applicables</w:t>
      </w:r>
    </w:p>
    <w:p>
      <w:pPr>
        <w:pStyle w:val="ListBullet"/>
      </w:pPr>
      <w:r>
        <w:t>ISA 300 — Planification de la mission</w:t>
      </w:r>
    </w:p>
    <w:p>
      <w:pPr>
        <w:pStyle w:val="ListBullet"/>
      </w:pPr>
      <w:r>
        <w:t>ISA 315 — Connaissance de l'entité et identification des risques</w:t>
      </w:r>
    </w:p>
    <w:p>
      <w:pPr>
        <w:pStyle w:val="ListBullet"/>
      </w:pPr>
      <w:r>
        <w:t>ISA 320 — Seuil de signification</w:t>
      </w:r>
    </w:p>
    <w:p>
      <w:pPr>
        <w:pStyle w:val="ListBullet"/>
      </w:pPr>
      <w:r>
        <w:t>ISA 330 — Procédures d'audit mises en œuvre en réponse aux risques évalués</w:t>
      </w:r>
    </w:p>
    <w:p>
      <w:pPr>
        <w:pStyle w:val="ListBullet"/>
      </w:pPr>
      <w:r>
        <w:t>ISA 520 — Procédures analytiques</w:t>
      </w:r>
    </w:p>
    <w:p>
      <w:pPr>
        <w:pStyle w:val="ListBullet"/>
      </w:pPr>
      <w:r>
        <w:t>ISA 230 — Documentation des travaux</w:t>
      </w:r>
    </w:p>
    <w:p>
      <w:r>
        <w:br w:type="page"/>
      </w:r>
    </w:p>
    <w:p>
      <w:pPr>
        <w:pStyle w:val="Heading1"/>
      </w:pPr>
      <w:r>
        <w:rPr>
          <w:color w:val="4F46E5"/>
        </w:rPr>
        <w:t>2. Connaissance de l'entité (ISA 315)</w:t>
      </w:r>
    </w:p>
    <w:p>
      <w:r>
        <w:rPr>
          <w:b w:val="0"/>
          <w:i w:val="0"/>
          <w:sz w:val="22"/>
        </w:rPr>
        <w:t>HARBI MATERIAUX SARL est une société de négoce de matériaux de construction opérant sur le marché local, avec un effectif restreint et une fonction comptable assurée par une seule personne supervisée par un cabinet externe. La facturation est réalisée sous Excel puis ressaisie en comptabilité, sans séparation des tâches formalisée : cet environnement de contrôle interne limité oriente la mission vers une approche essentiellement substantive.</w:t>
      </w:r>
    </w:p>
    <w:p/>
    <w:p>
      <w:pPr>
        <w:pStyle w:val="Heading2"/>
      </w:pPr>
      <w:r>
        <w:t>2.1 Identification et présentation générale</w:t>
      </w:r>
    </w:p>
    <w:p>
      <w:r>
        <w:rPr>
          <w:b/>
          <w:sz w:val="22"/>
        </w:rPr>
        <w:t xml:space="preserve">Forme juridique : </w:t>
      </w:r>
      <w:r>
        <w:rPr>
          <w:sz w:val="22"/>
        </w:rPr>
        <w:t>SARL</w:t>
      </w:r>
      <w:r>
        <w:br/>
      </w:r>
      <w:r>
        <w:rPr>
          <w:b/>
          <w:sz w:val="22"/>
        </w:rPr>
        <w:t xml:space="preserve">Date de création : </w:t>
      </w:r>
      <w:r>
        <w:rPr>
          <w:sz w:val="22"/>
        </w:rPr>
        <w:t>2014-03-18</w:t>
      </w:r>
      <w:r>
        <w:br/>
      </w:r>
      <w:r>
        <w:rPr>
          <w:b/>
          <w:sz w:val="22"/>
        </w:rPr>
        <w:t xml:space="preserve">Effectif : </w:t>
      </w:r>
      <w:r>
        <w:rPr>
          <w:sz w:val="22"/>
        </w:rPr>
        <w:t>14</w:t>
      </w:r>
      <w:r>
        <w:br/>
      </w:r>
      <w:r>
        <w:rPr>
          <w:b/>
          <w:sz w:val="22"/>
        </w:rPr>
        <w:t xml:space="preserve">Système d'information : </w:t>
      </w:r>
      <w:r>
        <w:rPr>
          <w:sz w:val="22"/>
        </w:rPr>
        <w:t>Logiciel comptable simple + facturation Excel ressaisie</w:t>
      </w:r>
      <w:r>
        <w:br/>
      </w:r>
    </w:p>
    <w:p>
      <w:pPr>
        <w:pStyle w:val="Heading2"/>
      </w:pPr>
      <w:r>
        <w:t>2.2 Activités et marchés</w:t>
      </w:r>
    </w:p>
    <w:p>
      <w:r>
        <w:rPr>
          <w:b w:val="0"/>
          <w:i w:val="0"/>
          <w:sz w:val="22"/>
        </w:rPr>
        <w:t>Négoce de matériaux de construction (import-revente)</w:t>
      </w:r>
    </w:p>
    <w:p>
      <w:r>
        <w:rPr>
          <w:b w:val="0"/>
          <w:i w:val="0"/>
          <w:sz w:val="22"/>
        </w:rPr>
        <w:t>Marchés principaux : Local (Djibouti ville), approvisionnement import via le port</w:t>
      </w:r>
    </w:p>
    <w:p>
      <w:pPr>
        <w:pStyle w:val="Heading2"/>
      </w:pPr>
      <w:r>
        <w:t>2.3 Gouvernance — Dirigeants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Nom</w:t>
            </w:r>
          </w:p>
        </w:tc>
        <w:tc>
          <w:tcPr>
            <w:tcW w:type="dxa" w:w="3135"/>
          </w:tcPr>
          <w:p>
            <w:r>
              <w:rPr>
                <w:b/>
              </w:rPr>
              <w:t>Fonction</w:t>
            </w:r>
          </w:p>
        </w:tc>
        <w:tc>
          <w:tcPr>
            <w:tcW w:type="dxa" w:w="3135"/>
          </w:tcPr>
          <w:p>
            <w:r>
              <w:rPr>
                <w:b/>
              </w:rPr>
              <w:t>Email</w:t>
            </w:r>
          </w:p>
        </w:tc>
      </w:tr>
      <w:tr>
        <w:tc>
          <w:tcPr>
            <w:tcW w:type="dxa" w:w="3135"/>
          </w:tcPr>
          <w:p>
            <w:r>
              <w:t>Ahmed Harbi</w:t>
            </w:r>
          </w:p>
        </w:tc>
        <w:tc>
          <w:tcPr>
            <w:tcW w:type="dxa" w:w="3135"/>
          </w:tcPr>
          <w:p>
            <w:r>
              <w:t>Gérant majoritaire (65 %)</w:t>
            </w:r>
          </w:p>
        </w:tc>
        <w:tc>
          <w:tcPr>
            <w:tcW w:type="dxa" w:w="3135"/>
          </w:tcPr>
          <w:p>
            <w:r>
              <w:t>—</w:t>
            </w:r>
          </w:p>
        </w:tc>
      </w:tr>
    </w:tbl>
    <w:p>
      <w:pPr>
        <w:pStyle w:val="Heading2"/>
      </w:pPr>
      <w:r>
        <w:t>2.4 Facteurs de risque inhérent identifiés</w:t>
      </w:r>
    </w:p>
    <w:p>
      <w:pPr>
        <w:pStyle w:val="ListBullet"/>
      </w:pPr>
      <w:r>
        <w:t>Comptable unique, absence de séparation des tâches</w:t>
      </w:r>
    </w:p>
    <w:p>
      <w:pPr>
        <w:pStyle w:val="ListBullet"/>
      </w:pPr>
      <w:r>
        <w:t>Facturation Excel ressaisie manuellement</w:t>
      </w:r>
    </w:p>
    <w:p>
      <w:pPr>
        <w:pStyle w:val="ListBullet"/>
      </w:pPr>
      <w:r>
        <w:t>Litige client SOMACO TP non réglé (février 2025)</w:t>
      </w:r>
    </w:p>
    <w:p>
      <w:r>
        <w:br w:type="page"/>
      </w:r>
    </w:p>
    <w:p>
      <w:pPr>
        <w:pStyle w:val="Heading1"/>
      </w:pPr>
      <w:r>
        <w:rPr>
          <w:color w:val="4F46E5"/>
        </w:rPr>
        <w:t>3. Procédures analytiques préliminaires (ISA 520)</w:t>
      </w:r>
    </w:p>
    <w:p>
      <w:r>
        <w:rPr>
          <w:b w:val="0"/>
          <w:i w:val="0"/>
          <w:sz w:val="22"/>
        </w:rPr>
        <w:t>Les procédures analytiques préliminaires font ressortir une croissance marquée de l'activité, une progression des créances clients et des stocks supérieure à celle du chiffre d'affaires, et une amélioration atypique de la marge nette. Ces évolutions concentrent l'attention sur la séparation des exercices, la recouvrabilité des créances et l'exhaustivité des charges.</w:t>
      </w:r>
    </w:p>
    <w:p>
      <w:pPr>
        <w:pStyle w:val="Heading2"/>
      </w:pPr>
      <w:r>
        <w:t>3.1 Variations significatives identifiées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Compte</w:t>
            </w:r>
          </w:p>
        </w:tc>
        <w:tc>
          <w:tcPr>
            <w:tcW w:type="dxa" w:w="1881"/>
          </w:tcPr>
          <w:p>
            <w:r>
              <w:rPr>
                <w:b/>
              </w:rPr>
              <w:t>Libellé</w:t>
            </w:r>
          </w:p>
        </w:tc>
        <w:tc>
          <w:tcPr>
            <w:tcW w:type="dxa" w:w="1881"/>
          </w:tcPr>
          <w:p>
            <w:r>
              <w:rPr>
                <w:b/>
              </w:rPr>
              <w:t>Solde N</w:t>
            </w:r>
          </w:p>
        </w:tc>
        <w:tc>
          <w:tcPr>
            <w:tcW w:type="dxa" w:w="1881"/>
          </w:tcPr>
          <w:p>
            <w:r>
              <w:rPr>
                <w:b/>
              </w:rPr>
              <w:t>Solde N-1</w:t>
            </w:r>
          </w:p>
        </w:tc>
        <w:tc>
          <w:tcPr>
            <w:tcW w:type="dxa" w:w="1881"/>
          </w:tcPr>
          <w:p>
            <w:r>
              <w:rPr>
                <w:b/>
              </w:rPr>
              <w:t>Variation %</w:t>
            </w:r>
          </w:p>
        </w:tc>
      </w:tr>
      <w:tr>
        <w:tc>
          <w:tcPr>
            <w:tcW w:type="dxa" w:w="1881"/>
          </w:tcPr>
          <w:p>
            <w:r>
              <w:t>701</w:t>
            </w:r>
          </w:p>
        </w:tc>
        <w:tc>
          <w:tcPr>
            <w:tcW w:type="dxa" w:w="1881"/>
          </w:tcPr>
          <w:p>
            <w:r>
              <w:t>Ventes de marchandises</w:t>
            </w:r>
          </w:p>
        </w:tc>
        <w:tc>
          <w:tcPr>
            <w:tcW w:type="dxa" w:w="1881"/>
          </w:tcPr>
          <w:p>
            <w:r>
              <w:t>-199,599,630 FDJ</w:t>
            </w:r>
          </w:p>
        </w:tc>
        <w:tc>
          <w:tcPr>
            <w:tcW w:type="dxa" w:w="1881"/>
          </w:tcPr>
          <w:p>
            <w:r>
              <w:t>-152,000,000 FDJ</w:t>
            </w:r>
          </w:p>
        </w:tc>
        <w:tc>
          <w:tcPr>
            <w:tcW w:type="dxa" w:w="1881"/>
          </w:tcPr>
          <w:p>
            <w:r>
              <w:t>-31.3 %</w:t>
            </w:r>
          </w:p>
        </w:tc>
      </w:tr>
      <w:tr>
        <w:tc>
          <w:tcPr>
            <w:tcW w:type="dxa" w:w="1881"/>
          </w:tcPr>
          <w:p>
            <w:r>
              <w:t>601</w:t>
            </w:r>
          </w:p>
        </w:tc>
        <w:tc>
          <w:tcPr>
            <w:tcW w:type="dxa" w:w="1881"/>
          </w:tcPr>
          <w:p>
            <w:r>
              <w:t>Achats de marchandises</w:t>
            </w:r>
          </w:p>
        </w:tc>
        <w:tc>
          <w:tcPr>
            <w:tcW w:type="dxa" w:w="1881"/>
          </w:tcPr>
          <w:p>
            <w:r>
              <w:t>138,768,695 FDJ</w:t>
            </w:r>
          </w:p>
        </w:tc>
        <w:tc>
          <w:tcPr>
            <w:tcW w:type="dxa" w:w="1881"/>
          </w:tcPr>
          <w:p>
            <w:r>
              <w:t>104,000,000 FDJ</w:t>
            </w:r>
          </w:p>
        </w:tc>
        <w:tc>
          <w:tcPr>
            <w:tcW w:type="dxa" w:w="1881"/>
          </w:tcPr>
          <w:p>
            <w:r>
              <w:t>+33.4 %</w:t>
            </w:r>
          </w:p>
        </w:tc>
      </w:tr>
      <w:tr>
        <w:tc>
          <w:tcPr>
            <w:tcW w:type="dxa" w:w="1881"/>
          </w:tcPr>
          <w:p>
            <w:r>
              <w:t>401</w:t>
            </w:r>
          </w:p>
        </w:tc>
        <w:tc>
          <w:tcPr>
            <w:tcW w:type="dxa" w:w="1881"/>
          </w:tcPr>
          <w:p>
            <w:r>
              <w:t>Fournisseurs</w:t>
            </w:r>
          </w:p>
        </w:tc>
        <w:tc>
          <w:tcPr>
            <w:tcW w:type="dxa" w:w="1881"/>
          </w:tcPr>
          <w:p>
            <w:r>
              <w:t>-28,798,430 FDJ</w:t>
            </w:r>
          </w:p>
        </w:tc>
        <w:tc>
          <w:tcPr>
            <w:tcW w:type="dxa" w:w="1881"/>
          </w:tcPr>
          <w:p>
            <w:r>
              <w:t>-14,300,000 FDJ</w:t>
            </w:r>
          </w:p>
        </w:tc>
        <w:tc>
          <w:tcPr>
            <w:tcW w:type="dxa" w:w="1881"/>
          </w:tcPr>
          <w:p>
            <w:r>
              <w:t>-101.4 %</w:t>
            </w:r>
          </w:p>
        </w:tc>
      </w:tr>
      <w:tr>
        <w:tc>
          <w:tcPr>
            <w:tcW w:type="dxa" w:w="1881"/>
          </w:tcPr>
          <w:p>
            <w:r>
              <w:t>512</w:t>
            </w:r>
          </w:p>
        </w:tc>
        <w:tc>
          <w:tcPr>
            <w:tcW w:type="dxa" w:w="1881"/>
          </w:tcPr>
          <w:p>
            <w:r>
              <w:t>Banque BCIMR</w:t>
            </w:r>
          </w:p>
        </w:tc>
        <w:tc>
          <w:tcPr>
            <w:tcW w:type="dxa" w:w="1881"/>
          </w:tcPr>
          <w:p>
            <w:r>
              <w:t>32,714,930 FDJ</w:t>
            </w:r>
          </w:p>
        </w:tc>
        <w:tc>
          <w:tcPr>
            <w:tcW w:type="dxa" w:w="1881"/>
          </w:tcPr>
          <w:p>
            <w:r>
              <w:t>20,000,000 FDJ</w:t>
            </w:r>
          </w:p>
        </w:tc>
        <w:tc>
          <w:tcPr>
            <w:tcW w:type="dxa" w:w="1881"/>
          </w:tcPr>
          <w:p>
            <w:r>
              <w:t>+63.6 %</w:t>
            </w:r>
          </w:p>
        </w:tc>
      </w:tr>
      <w:tr>
        <w:tc>
          <w:tcPr>
            <w:tcW w:type="dxa" w:w="1881"/>
          </w:tcPr>
          <w:p>
            <w:r>
              <w:t>6031</w:t>
            </w:r>
          </w:p>
        </w:tc>
        <w:tc>
          <w:tcPr>
            <w:tcW w:type="dxa" w:w="1881"/>
          </w:tcPr>
          <w:p>
            <w:r>
              <w:t>Variation des stocks de march.</w:t>
            </w:r>
          </w:p>
        </w:tc>
        <w:tc>
          <w:tcPr>
            <w:tcW w:type="dxa" w:w="1881"/>
          </w:tcPr>
          <w:p>
            <w:r>
              <w:t>-9,450,000 FDJ</w:t>
            </w:r>
          </w:p>
        </w:tc>
        <w:tc>
          <w:tcPr>
            <w:tcW w:type="dxa" w:w="1881"/>
          </w:tcPr>
          <w:p>
            <w:r>
              <w:t>2,500,000 FDJ</w:t>
            </w:r>
          </w:p>
        </w:tc>
        <w:tc>
          <w:tcPr>
            <w:tcW w:type="dxa" w:w="1881"/>
          </w:tcPr>
          <w:p>
            <w:r>
              <w:t>-478.0 %</w:t>
            </w:r>
          </w:p>
        </w:tc>
      </w:tr>
      <w:tr>
        <w:tc>
          <w:tcPr>
            <w:tcW w:type="dxa" w:w="1881"/>
          </w:tcPr>
          <w:p>
            <w:r>
              <w:t>310</w:t>
            </w:r>
          </w:p>
        </w:tc>
        <w:tc>
          <w:tcPr>
            <w:tcW w:type="dxa" w:w="1881"/>
          </w:tcPr>
          <w:p>
            <w:r>
              <w:t>Stocks de marchandises</w:t>
            </w:r>
          </w:p>
        </w:tc>
        <w:tc>
          <w:tcPr>
            <w:tcW w:type="dxa" w:w="1881"/>
          </w:tcPr>
          <w:p>
            <w:r>
              <w:t>34,450,000 FDJ</w:t>
            </w:r>
          </w:p>
        </w:tc>
        <w:tc>
          <w:tcPr>
            <w:tcW w:type="dxa" w:w="1881"/>
          </w:tcPr>
          <w:p>
            <w:r>
              <w:t>25,000,000 FDJ</w:t>
            </w:r>
          </w:p>
        </w:tc>
        <w:tc>
          <w:tcPr>
            <w:tcW w:type="dxa" w:w="1881"/>
          </w:tcPr>
          <w:p>
            <w:r>
              <w:t>+37.8 %</w:t>
            </w:r>
          </w:p>
        </w:tc>
      </w:tr>
      <w:tr>
        <w:tc>
          <w:tcPr>
            <w:tcW w:type="dxa" w:w="1881"/>
          </w:tcPr>
          <w:p>
            <w:r>
              <w:t>411</w:t>
            </w:r>
          </w:p>
        </w:tc>
        <w:tc>
          <w:tcPr>
            <w:tcW w:type="dxa" w:w="1881"/>
          </w:tcPr>
          <w:p>
            <w:r>
              <w:t>Clients</w:t>
            </w:r>
          </w:p>
        </w:tc>
        <w:tc>
          <w:tcPr>
            <w:tcW w:type="dxa" w:w="1881"/>
          </w:tcPr>
          <w:p>
            <w:r>
              <w:t>30,986,870 FDJ</w:t>
            </w:r>
          </w:p>
        </w:tc>
        <w:tc>
          <w:tcPr>
            <w:tcW w:type="dxa" w:w="1881"/>
          </w:tcPr>
          <w:p>
            <w:r>
              <w:t>22,000,000 FDJ</w:t>
            </w:r>
          </w:p>
        </w:tc>
        <w:tc>
          <w:tcPr>
            <w:tcW w:type="dxa" w:w="1881"/>
          </w:tcPr>
          <w:p>
            <w:r>
              <w:t>+40.9 %</w:t>
            </w:r>
          </w:p>
        </w:tc>
      </w:tr>
      <w:tr>
        <w:tc>
          <w:tcPr>
            <w:tcW w:type="dxa" w:w="1881"/>
          </w:tcPr>
          <w:p>
            <w:r>
              <w:t>110</w:t>
            </w:r>
          </w:p>
        </w:tc>
        <w:tc>
          <w:tcPr>
            <w:tcW w:type="dxa" w:w="1881"/>
          </w:tcPr>
          <w:p>
            <w:r>
              <w:t>Report à nouveau</w:t>
            </w:r>
          </w:p>
        </w:tc>
        <w:tc>
          <w:tcPr>
            <w:tcW w:type="dxa" w:w="1881"/>
          </w:tcPr>
          <w:p>
            <w:r>
              <w:t>-10,350,000 FDJ</w:t>
            </w:r>
          </w:p>
        </w:tc>
        <w:tc>
          <w:tcPr>
            <w:tcW w:type="dxa" w:w="1881"/>
          </w:tcPr>
          <w:p>
            <w:r>
              <w:t>-3,050,805 FDJ</w:t>
            </w:r>
          </w:p>
        </w:tc>
        <w:tc>
          <w:tcPr>
            <w:tcW w:type="dxa" w:w="1881"/>
          </w:tcPr>
          <w:p>
            <w:r>
              <w:t>-239.2 %</w:t>
            </w:r>
          </w:p>
        </w:tc>
      </w:tr>
      <w:tr>
        <w:tc>
          <w:tcPr>
            <w:tcW w:type="dxa" w:w="1881"/>
          </w:tcPr>
          <w:p>
            <w:r>
              <w:t>164</w:t>
            </w:r>
          </w:p>
        </w:tc>
        <w:tc>
          <w:tcPr>
            <w:tcW w:type="dxa" w:w="1881"/>
          </w:tcPr>
          <w:p>
            <w:r>
              <w:t>Emprunt BCIMR moyen terme</w:t>
            </w:r>
          </w:p>
        </w:tc>
        <w:tc>
          <w:tcPr>
            <w:tcW w:type="dxa" w:w="1881"/>
          </w:tcPr>
          <w:p>
            <w:r>
              <w:t>-12,000,000 FDJ</w:t>
            </w:r>
          </w:p>
        </w:tc>
        <w:tc>
          <w:tcPr>
            <w:tcW w:type="dxa" w:w="1881"/>
          </w:tcPr>
          <w:p>
            <w:r>
              <w:t>-18,000,000 FDJ</w:t>
            </w:r>
          </w:p>
        </w:tc>
        <w:tc>
          <w:tcPr>
            <w:tcW w:type="dxa" w:w="1881"/>
          </w:tcPr>
          <w:p>
            <w:r>
              <w:t>+33.3 %</w:t>
            </w:r>
          </w:p>
        </w:tc>
      </w:tr>
      <w:tr>
        <w:tc>
          <w:tcPr>
            <w:tcW w:type="dxa" w:w="1881"/>
          </w:tcPr>
          <w:p>
            <w:r>
              <w:t>218</w:t>
            </w:r>
          </w:p>
        </w:tc>
        <w:tc>
          <w:tcPr>
            <w:tcW w:type="dxa" w:w="1881"/>
          </w:tcPr>
          <w:p>
            <w:r>
              <w:t>Matériel et mobilier de bureau</w:t>
            </w:r>
          </w:p>
        </w:tc>
        <w:tc>
          <w:tcPr>
            <w:tcW w:type="dxa" w:w="1881"/>
          </w:tcPr>
          <w:p>
            <w:r>
              <w:t>9,900,000 FDJ</w:t>
            </w:r>
          </w:p>
        </w:tc>
        <w:tc>
          <w:tcPr>
            <w:tcW w:type="dxa" w:w="1881"/>
          </w:tcPr>
          <w:p>
            <w:r>
              <w:t>6,400,000 FDJ</w:t>
            </w:r>
          </w:p>
        </w:tc>
        <w:tc>
          <w:tcPr>
            <w:tcW w:type="dxa" w:w="1881"/>
          </w:tcPr>
          <w:p>
            <w:r>
              <w:t>+54.7 %</w:t>
            </w:r>
          </w:p>
        </w:tc>
      </w:tr>
      <w:tr>
        <w:tc>
          <w:tcPr>
            <w:tcW w:type="dxa" w:w="1881"/>
          </w:tcPr>
          <w:p>
            <w:r>
              <w:t>624</w:t>
            </w:r>
          </w:p>
        </w:tc>
        <w:tc>
          <w:tcPr>
            <w:tcW w:type="dxa" w:w="1881"/>
          </w:tcPr>
          <w:p>
            <w:r>
              <w:t>Transports de biens</w:t>
            </w:r>
          </w:p>
        </w:tc>
        <w:tc>
          <w:tcPr>
            <w:tcW w:type="dxa" w:w="1881"/>
          </w:tcPr>
          <w:p>
            <w:r>
              <w:t>6,541,775 FDJ</w:t>
            </w:r>
          </w:p>
        </w:tc>
        <w:tc>
          <w:tcPr>
            <w:tcW w:type="dxa" w:w="1881"/>
          </w:tcPr>
          <w:p>
            <w:r>
              <w:t>3,214,680 FDJ</w:t>
            </w:r>
          </w:p>
        </w:tc>
        <w:tc>
          <w:tcPr>
            <w:tcW w:type="dxa" w:w="1881"/>
          </w:tcPr>
          <w:p>
            <w:r>
              <w:t>+103.5 %</w:t>
            </w:r>
          </w:p>
        </w:tc>
      </w:tr>
      <w:tr>
        <w:tc>
          <w:tcPr>
            <w:tcW w:type="dxa" w:w="1881"/>
          </w:tcPr>
          <w:p>
            <w:r>
              <w:t>2815</w:t>
            </w:r>
          </w:p>
        </w:tc>
        <w:tc>
          <w:tcPr>
            <w:tcW w:type="dxa" w:w="1881"/>
          </w:tcPr>
          <w:p>
            <w:r>
              <w:t>Amort. matériel de transport</w:t>
            </w:r>
          </w:p>
        </w:tc>
        <w:tc>
          <w:tcPr>
            <w:tcW w:type="dxa" w:w="1881"/>
          </w:tcPr>
          <w:p>
            <w:r>
              <w:t>-12,712,425 FDJ</w:t>
            </w:r>
          </w:p>
        </w:tc>
        <w:tc>
          <w:tcPr>
            <w:tcW w:type="dxa" w:w="1881"/>
          </w:tcPr>
          <w:p>
            <w:r>
              <w:t>-9,800,000 FDJ</w:t>
            </w:r>
          </w:p>
        </w:tc>
        <w:tc>
          <w:tcPr>
            <w:tcW w:type="dxa" w:w="1881"/>
          </w:tcPr>
          <w:p>
            <w:r>
              <w:t>-29.7 %</w:t>
            </w:r>
          </w:p>
        </w:tc>
      </w:tr>
      <w:tr>
        <w:tc>
          <w:tcPr>
            <w:tcW w:type="dxa" w:w="1881"/>
          </w:tcPr>
          <w:p>
            <w:r>
              <w:t>606</w:t>
            </w:r>
          </w:p>
        </w:tc>
        <w:tc>
          <w:tcPr>
            <w:tcW w:type="dxa" w:w="1881"/>
          </w:tcPr>
          <w:p>
            <w:r>
              <w:t>Eau, électricité, fournitures</w:t>
            </w:r>
          </w:p>
        </w:tc>
        <w:tc>
          <w:tcPr>
            <w:tcW w:type="dxa" w:w="1881"/>
          </w:tcPr>
          <w:p>
            <w:r>
              <w:t>4,315,195 FDJ</w:t>
            </w:r>
          </w:p>
        </w:tc>
        <w:tc>
          <w:tcPr>
            <w:tcW w:type="dxa" w:w="1881"/>
          </w:tcPr>
          <w:p>
            <w:r>
              <w:t>1,847,350 FDJ</w:t>
            </w:r>
          </w:p>
        </w:tc>
        <w:tc>
          <w:tcPr>
            <w:tcW w:type="dxa" w:w="1881"/>
          </w:tcPr>
          <w:p>
            <w:r>
              <w:t>+133.6 %</w:t>
            </w:r>
          </w:p>
        </w:tc>
      </w:tr>
      <w:tr>
        <w:tc>
          <w:tcPr>
            <w:tcW w:type="dxa" w:w="1881"/>
          </w:tcPr>
          <w:p>
            <w:r>
              <w:t>431</w:t>
            </w:r>
          </w:p>
        </w:tc>
        <w:tc>
          <w:tcPr>
            <w:tcW w:type="dxa" w:w="1881"/>
          </w:tcPr>
          <w:p>
            <w:r>
              <w:t>CNSS - cotisations dues</w:t>
            </w:r>
          </w:p>
        </w:tc>
        <w:tc>
          <w:tcPr>
            <w:tcW w:type="dxa" w:w="1881"/>
          </w:tcPr>
          <w:p>
            <w:r>
              <w:t>-410,000 FDJ</w:t>
            </w:r>
          </w:p>
        </w:tc>
        <w:tc>
          <w:tcPr>
            <w:tcW w:type="dxa" w:w="1881"/>
          </w:tcPr>
          <w:p>
            <w:r>
              <w:t>-950,000 FDJ</w:t>
            </w:r>
          </w:p>
        </w:tc>
        <w:tc>
          <w:tcPr>
            <w:tcW w:type="dxa" w:w="1881"/>
          </w:tcPr>
          <w:p>
            <w:r>
              <w:t>+56.8 %</w:t>
            </w:r>
          </w:p>
        </w:tc>
      </w:tr>
      <w:tr>
        <w:tc>
          <w:tcPr>
            <w:tcW w:type="dxa" w:w="1881"/>
          </w:tcPr>
          <w:p>
            <w:r>
              <w:t>444</w:t>
            </w:r>
          </w:p>
        </w:tc>
        <w:tc>
          <w:tcPr>
            <w:tcW w:type="dxa" w:w="1881"/>
          </w:tcPr>
          <w:p>
            <w:r>
              <w:t>État - impôt sur les bénéfices</w:t>
            </w:r>
          </w:p>
        </w:tc>
        <w:tc>
          <w:tcPr>
            <w:tcW w:type="dxa" w:w="1881"/>
          </w:tcPr>
          <w:p>
            <w:r>
              <w:t>-2,384,150 FDJ</w:t>
            </w:r>
          </w:p>
        </w:tc>
        <w:tc>
          <w:tcPr>
            <w:tcW w:type="dxa" w:w="1881"/>
          </w:tcPr>
          <w:p>
            <w:r>
              <w:t>-1,900,000 FDJ</w:t>
            </w:r>
          </w:p>
        </w:tc>
        <w:tc>
          <w:tcPr>
            <w:tcW w:type="dxa" w:w="1881"/>
          </w:tcPr>
          <w:p>
            <w:r>
              <w:t>-25.5 %</w:t>
            </w:r>
          </w:p>
        </w:tc>
      </w:tr>
      <w:tr>
        <w:tc>
          <w:tcPr>
            <w:tcW w:type="dxa" w:w="1881"/>
          </w:tcPr>
          <w:p>
            <w:r>
              <w:t>695</w:t>
            </w:r>
          </w:p>
        </w:tc>
        <w:tc>
          <w:tcPr>
            <w:tcW w:type="dxa" w:w="1881"/>
          </w:tcPr>
          <w:p>
            <w:r>
              <w:t>Impôt sur les bénéfices</w:t>
            </w:r>
          </w:p>
        </w:tc>
        <w:tc>
          <w:tcPr>
            <w:tcW w:type="dxa" w:w="1881"/>
          </w:tcPr>
          <w:p>
            <w:r>
              <w:t>2,384,150 FDJ</w:t>
            </w:r>
          </w:p>
        </w:tc>
        <w:tc>
          <w:tcPr>
            <w:tcW w:type="dxa" w:w="1881"/>
          </w:tcPr>
          <w:p>
            <w:r>
              <w:t>1,900,000 FDJ</w:t>
            </w:r>
          </w:p>
        </w:tc>
        <w:tc>
          <w:tcPr>
            <w:tcW w:type="dxa" w:w="1881"/>
          </w:tcPr>
          <w:p>
            <w:r>
              <w:t>+25.5 %</w:t>
            </w:r>
          </w:p>
        </w:tc>
      </w:tr>
      <w:tr>
        <w:tc>
          <w:tcPr>
            <w:tcW w:type="dxa" w:w="1881"/>
          </w:tcPr>
          <w:p>
            <w:r>
              <w:t>531</w:t>
            </w:r>
          </w:p>
        </w:tc>
        <w:tc>
          <w:tcPr>
            <w:tcW w:type="dxa" w:w="1881"/>
          </w:tcPr>
          <w:p>
            <w:r>
              <w:t>Caisse</w:t>
            </w:r>
          </w:p>
        </w:tc>
        <w:tc>
          <w:tcPr>
            <w:tcW w:type="dxa" w:w="1881"/>
          </w:tcPr>
          <w:p>
            <w:r>
              <w:t>1,337,300 FDJ</w:t>
            </w:r>
          </w:p>
        </w:tc>
        <w:tc>
          <w:tcPr>
            <w:tcW w:type="dxa" w:w="1881"/>
          </w:tcPr>
          <w:p>
            <w:r>
              <w:t>1,100,000 FDJ</w:t>
            </w:r>
          </w:p>
        </w:tc>
        <w:tc>
          <w:tcPr>
            <w:tcW w:type="dxa" w:w="1881"/>
          </w:tcPr>
          <w:p>
            <w:r>
              <w:t>+21.6 %</w:t>
            </w:r>
          </w:p>
        </w:tc>
      </w:tr>
    </w:tbl>
    <w:p/>
    <w:p>
      <w:pPr>
        <w:pStyle w:val="Heading2"/>
      </w:pPr>
      <w:r>
        <w:t>3.2 Interprétation</w:t>
      </w:r>
    </w:p>
    <w:p>
      <w:r>
        <w:rPr>
          <w:b w:val="0"/>
          <w:i w:val="0"/>
          <w:sz w:val="22"/>
        </w:rPr>
        <w:t>L'analyse comparative N/N-1 confirme une croissance marquée de l'activité : le chiffre d'affaires progresse d'environ un tiers, avec une progression parallèle des achats. Les créances clients et les stocks augmentent plus vite que le chiffre d'affaires, ce qui allonge le besoin en fonds de roulement et appelle des travaux sur la recouvrabilité des créances et la réalité des stocks. La trésorerie progresse fortement et le résultat net fait plus que tripler, améliorant la marge nette de façon atypique pour un négoce de matériaux : la marge devra être corroborée (exhaustivité des charges, séparation des exercices).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Cycle / Compte</w:t>
            </w:r>
          </w:p>
        </w:tc>
        <w:tc>
          <w:tcPr>
            <w:tcW w:type="dxa" w:w="3135"/>
          </w:tcPr>
          <w:p>
            <w:r>
              <w:rPr>
                <w:b/>
              </w:rPr>
              <w:t>Niveau</w:t>
            </w:r>
          </w:p>
        </w:tc>
        <w:tc>
          <w:tcPr>
            <w:tcW w:type="dxa" w:w="3135"/>
          </w:tcPr>
          <w:p>
            <w:r>
              <w:rPr>
                <w:b/>
              </w:rPr>
              <w:t>Explication</w:t>
            </w:r>
          </w:p>
        </w:tc>
      </w:tr>
      <w:tr>
        <w:tc>
          <w:tcPr>
            <w:tcW w:type="dxa" w:w="3135"/>
          </w:tcPr>
          <w:p>
            <w:r>
              <w:t>Créances clients en forte hausse (+41 %) et litige client</w:t>
            </w:r>
          </w:p>
        </w:tc>
        <w:tc>
          <w:tcPr>
            <w:tcW w:type="dxa" w:w="3135"/>
          </w:tcPr>
          <w:p>
            <w:r>
              <w:t>eleve</w:t>
            </w:r>
          </w:p>
        </w:tc>
        <w:tc>
          <w:tcPr>
            <w:tcW w:type="dxa" w:w="3135"/>
          </w:tcPr>
          <w:p>
            <w:r>
              <w:t>Croissance des créances supérieure à celle du CA ; risque d'évaluation et de recouvrabilité.</w:t>
            </w:r>
          </w:p>
        </w:tc>
      </w:tr>
      <w:tr>
        <w:tc>
          <w:tcPr>
            <w:tcW w:type="dxa" w:w="3135"/>
          </w:tcPr>
          <w:p>
            <w:r>
              <w:t>Concentration de facturation en fin d'exercice</w:t>
            </w:r>
          </w:p>
        </w:tc>
        <w:tc>
          <w:tcPr>
            <w:tcW w:type="dxa" w:w="3135"/>
          </w:tcPr>
          <w:p>
            <w:r>
              <w:t>eleve</w:t>
            </w:r>
          </w:p>
        </w:tc>
        <w:tc>
          <w:tcPr>
            <w:tcW w:type="dxa" w:w="3135"/>
          </w:tcPr>
          <w:p>
            <w:r>
              <w:t>Risque de séparation des exercices (cut-off) sur les ventes de décembre.</w:t>
            </w:r>
          </w:p>
        </w:tc>
      </w:tr>
      <w:tr>
        <w:tc>
          <w:tcPr>
            <w:tcW w:type="dxa" w:w="3135"/>
          </w:tcPr>
          <w:p>
            <w:r>
              <w:t>Solde bancaire en forte progression à rapprocher du relevé</w:t>
            </w:r>
          </w:p>
        </w:tc>
        <w:tc>
          <w:tcPr>
            <w:tcW w:type="dxa" w:w="3135"/>
          </w:tcPr>
          <w:p>
            <w:r>
              <w:t>moyen</w:t>
            </w:r>
          </w:p>
        </w:tc>
        <w:tc>
          <w:tcPr>
            <w:tcW w:type="dxa" w:w="3135"/>
          </w:tcPr>
          <w:p>
            <w:r>
              <w:t>Le solde 512 doit être confirmé par le rapprochement bancaire et la confirmation banque.</w:t>
            </w:r>
          </w:p>
        </w:tc>
      </w:tr>
      <w:tr>
        <w:tc>
          <w:tcPr>
            <w:tcW w:type="dxa" w:w="3135"/>
          </w:tcPr>
          <w:p>
            <w:r>
              <w:t>Progression des achats et dettes fournisseurs</w:t>
            </w:r>
          </w:p>
        </w:tc>
        <w:tc>
          <w:tcPr>
            <w:tcW w:type="dxa" w:w="3135"/>
          </w:tcPr>
          <w:p>
            <w:r>
              <w:t>moyen</w:t>
            </w:r>
          </w:p>
        </w:tc>
        <w:tc>
          <w:tcPr>
            <w:tcW w:type="dxa" w:w="3135"/>
          </w:tcPr>
          <w:p>
            <w:r>
              <w:t>Risque d'exhaustivité des charges et de doublons dans un contexte de ressaisie manuelle.</w:t>
            </w:r>
          </w:p>
        </w:tc>
      </w:tr>
      <w:tr>
        <w:tc>
          <w:tcPr>
            <w:tcW w:type="dxa" w:w="3135"/>
          </w:tcPr>
          <w:p>
            <w:r>
              <w:t>Amélioration atypique de la marge nette</w:t>
            </w:r>
          </w:p>
        </w:tc>
        <w:tc>
          <w:tcPr>
            <w:tcW w:type="dxa" w:w="3135"/>
          </w:tcPr>
          <w:p>
            <w:r>
              <w:t>moyen</w:t>
            </w:r>
          </w:p>
        </w:tc>
        <w:tc>
          <w:tcPr>
            <w:tcW w:type="dxa" w:w="3135"/>
          </w:tcPr>
          <w:p>
            <w:r>
              <w:t>La marge nette passe d'environ 5 % à plus de 11 % : cohérence à corroborer.</w:t>
            </w:r>
          </w:p>
        </w:tc>
      </w:tr>
    </w:tbl>
    <w:p/>
    <w:p>
      <w:r>
        <w:rPr>
          <w:b w:val="0"/>
          <w:i w:val="0"/>
          <w:sz w:val="22"/>
        </w:rPr>
        <w:t>Facteurs contextuels : Le secteur du négoce de matériaux à Djibouti bénéficie de chantiers publics : une croissance de l'activité est plausible, mais elle n'explique pas à elle seule l'amélioration de la marge nette.</w:t>
      </w:r>
    </w:p>
    <w:p>
      <w:pPr>
        <w:pStyle w:val="Heading2"/>
      </w:pPr>
      <w:r>
        <w:t>Points d'attention</w:t>
      </w:r>
    </w:p>
    <w:p>
      <w:pPr>
        <w:pStyle w:val="ListBullet"/>
      </w:pPr>
      <w:r>
        <w:t>Stocks +38 % : inventaire physique à corroborer.</w:t>
      </w:r>
    </w:p>
    <w:p>
      <w:pPr>
        <w:pStyle w:val="ListBullet"/>
      </w:pPr>
      <w:r>
        <w:t>Créances anciennes non dépréciées à analyser (litige client au dossier permanent).</w:t>
      </w:r>
    </w:p>
    <w:p>
      <w:r>
        <w:br w:type="page"/>
      </w:r>
    </w:p>
    <w:p>
      <w:pPr>
        <w:pStyle w:val="Heading1"/>
      </w:pPr>
      <w:r>
        <w:rPr>
          <w:color w:val="4F46E5"/>
        </w:rPr>
        <w:t>4. Seuil de signification (ISA 320)</w:t>
      </w:r>
    </w:p>
    <w:p>
      <w:r>
        <w:rPr>
          <w:b w:val="0"/>
          <w:i w:val="0"/>
          <w:sz w:val="22"/>
        </w:rPr>
        <w:t>Les risques validés par l'auditeur couvrent principalement les cycles ventes (cut-off, créances anciennes), trésorerie (rapprochement bancaire, espèces) et achats (doublons de factures), avec des risques transversaux sur la marge et les stocks. Le seuil de signification retenu, assis sur un agrégat représentatif de l'activité, borne l'évaluation des anomalies relevées.</w:t>
      </w:r>
    </w:p>
    <w:p>
      <w:pPr>
        <w:pStyle w:val="Heading2"/>
      </w:pPr>
      <w:r>
        <w:t>4.1 Base de calcul et paramètres retenus</w:t>
      </w:r>
    </w:p>
    <w:p>
      <w:r>
        <w:rPr>
          <w:b/>
          <w:sz w:val="22"/>
        </w:rPr>
        <w:t xml:space="preserve">Agrégat retenu : </w:t>
      </w:r>
      <w:r>
        <w:rPr>
          <w:sz w:val="22"/>
        </w:rPr>
        <w:t>total_bilan</w:t>
      </w:r>
      <w:r>
        <w:br/>
      </w:r>
      <w:r>
        <w:rPr>
          <w:b/>
          <w:sz w:val="22"/>
        </w:rPr>
        <w:t xml:space="preserve">Valeur de l'agrégat : </w:t>
      </w:r>
      <w:r>
        <w:rPr>
          <w:sz w:val="22"/>
        </w:rPr>
        <w:t>138,589,100 FDJ</w:t>
      </w:r>
      <w:r>
        <w:br/>
      </w:r>
      <w:r>
        <w:rPr>
          <w:b/>
          <w:sz w:val="22"/>
        </w:rPr>
        <w:t xml:space="preserve">Taux de signification : </w:t>
      </w:r>
      <w:r>
        <w:rPr>
          <w:sz w:val="22"/>
        </w:rPr>
        <w:t>0.01 %</w:t>
      </w:r>
      <w:r>
        <w:br/>
      </w:r>
      <w:r>
        <w:rPr>
          <w:b/>
          <w:sz w:val="22"/>
        </w:rPr>
        <w:t xml:space="preserve">Taux de planification : </w:t>
      </w:r>
      <w:r>
        <w:rPr>
          <w:sz w:val="22"/>
        </w:rPr>
        <w:t>0.75 %</w:t>
      </w:r>
      <w:r>
        <w:br/>
      </w:r>
      <w:r>
        <w:rPr>
          <w:b/>
          <w:sz w:val="22"/>
        </w:rPr>
        <w:t xml:space="preserve">Seuil de signification : </w:t>
      </w:r>
      <w:r>
        <w:rPr>
          <w:sz w:val="22"/>
        </w:rPr>
        <w:t>1,385,891 FDJ</w:t>
      </w:r>
      <w:r>
        <w:br/>
      </w:r>
      <w:r>
        <w:rPr>
          <w:b/>
          <w:sz w:val="22"/>
        </w:rPr>
        <w:t xml:space="preserve">Seuil de planification : </w:t>
      </w:r>
      <w:r>
        <w:rPr>
          <w:sz w:val="22"/>
        </w:rPr>
        <w:t>1,039,418 FDJ</w:t>
      </w:r>
      <w:r>
        <w:br/>
      </w:r>
    </w:p>
    <w:p>
      <w:pPr>
        <w:pStyle w:val="Heading2"/>
      </w:pPr>
      <w:r>
        <w:t>4.2 Justification du seuil retenu</w:t>
      </w:r>
    </w:p>
    <w:p>
      <w:r>
        <w:rPr>
          <w:b w:val="0"/>
          <w:i w:val="0"/>
          <w:sz w:val="22"/>
        </w:rPr>
        <w:t>Le seuil de signification de 1,385,891 FDJ (0.01 % de total_bilan) est le montant au-delà duquel une anomalie, prise isolément ou EN CUMUL avec les autres anomalies non corrigées (ISA 450), est susceptible d'influencer le jugement d'un utilisateur des comptes et d'affecter l'opinion d'audit. Une anomalie inférieure au seuil ne peut être considérée comme sans incidence qu'après agrégation avec l'ensemble des anomalies non corrigées relevées au cours de la mission. Le seuil de planification de 1,039,418 FDJ (0.75 %) est appliqué pour les tests de détail afin de conserver une marge de sécurité permettant d'absorber les anomalies non détectées. Ces paramètres sont conformes aux pratiques professionnelles et aux exigences de la norme ISA 320.</w:t>
      </w:r>
    </w:p>
    <w:p>
      <w:r>
        <w:br w:type="page"/>
      </w:r>
    </w:p>
    <w:p>
      <w:pPr>
        <w:pStyle w:val="Heading1"/>
      </w:pPr>
      <w:r>
        <w:rPr>
          <w:color w:val="4F46E5"/>
        </w:rPr>
        <w:t>5. Cartographie des risques (ISA 315)</w:t>
      </w:r>
    </w:p>
    <w:p>
      <w:r>
        <w:rPr>
          <w:b w:val="0"/>
          <w:i w:val="0"/>
          <w:sz w:val="22"/>
        </w:rPr>
        <w:t>9 risque(s) identifié(s) et validé(s) pour cette mission.</w:t>
      </w:r>
    </w:p>
    <w:p>
      <w:r>
        <w:rPr>
          <w:b w:val="0"/>
          <w:i w:val="0"/>
          <w:sz w:val="22"/>
        </w:rPr>
        <w:t>Dont : 3 élevé(s), 6 moyen(s), 0 faible(s).</w:t>
      </w:r>
    </w:p>
    <w:p/>
    <w:p>
      <w:pPr>
        <w:pStyle w:val="Heading2"/>
      </w:pPr>
      <w:r>
        <w:t>Cycle : Achats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Double comptabilisation de factures fournisseurs</w:t>
            </w:r>
          </w:p>
        </w:tc>
        <w:tc>
          <w:tcPr>
            <w:tcW w:type="dxa" w:w="1881"/>
          </w:tcPr>
          <w:p>
            <w:r>
              <w:t>MOYEN</w:t>
            </w:r>
          </w:p>
        </w:tc>
        <w:tc>
          <w:tcPr>
            <w:tcW w:type="dxa" w:w="1881"/>
          </w:tcPr>
          <w:p>
            <w:r>
              <w:t>IA</w:t>
            </w:r>
          </w:p>
        </w:tc>
        <w:tc>
          <w:tcPr>
            <w:tcW w:type="dxa" w:w="1881"/>
          </w:tcPr>
          <w:p>
            <w:r>
              <w:t>existence, exhaustivite</w:t>
            </w:r>
          </w:p>
        </w:tc>
        <w:tc>
          <w:tcPr>
            <w:tcW w:type="dxa" w:w="1881"/>
          </w:tcPr>
          <w:p>
            <w:r/>
          </w:p>
        </w:tc>
      </w:tr>
    </w:tbl>
    <w:p/>
    <w:p>
      <w:pPr>
        <w:pStyle w:val="Heading2"/>
      </w:pPr>
      <w:r>
        <w:t>Cycle : Transversal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Exhaustivité des charges dans un contexte de marge atypique</w:t>
            </w:r>
          </w:p>
        </w:tc>
        <w:tc>
          <w:tcPr>
            <w:tcW w:type="dxa" w:w="1881"/>
          </w:tcPr>
          <w:p>
            <w:r>
              <w:t>MOYEN</w:t>
            </w:r>
          </w:p>
        </w:tc>
        <w:tc>
          <w:tcPr>
            <w:tcW w:type="dxa" w:w="1881"/>
          </w:tcPr>
          <w:p>
            <w:r>
              <w:t>IA</w:t>
            </w:r>
          </w:p>
        </w:tc>
        <w:tc>
          <w:tcPr>
            <w:tcW w:type="dxa" w:w="1881"/>
          </w:tcPr>
          <w:p>
            <w:r>
              <w:t>exhaustivite, cut_off</w:t>
            </w:r>
          </w:p>
        </w:tc>
        <w:tc>
          <w:tcPr>
            <w:tcW w:type="dxa" w:w="1881"/>
          </w:tcPr>
          <w:p>
            <w:r/>
          </w:p>
        </w:tc>
      </w:tr>
      <w:tr>
        <w:tc>
          <w:tcPr>
            <w:tcW w:type="dxa" w:w="1881"/>
          </w:tcPr>
          <w:p>
            <w:r>
              <w:t>Réalité et valorisation du stock de clôture</w:t>
            </w:r>
          </w:p>
        </w:tc>
        <w:tc>
          <w:tcPr>
            <w:tcW w:type="dxa" w:w="1881"/>
          </w:tcPr>
          <w:p>
            <w:r>
              <w:t>MOYEN</w:t>
            </w:r>
          </w:p>
        </w:tc>
        <w:tc>
          <w:tcPr>
            <w:tcW w:type="dxa" w:w="1881"/>
          </w:tcPr>
          <w:p>
            <w:r>
              <w:t>IA</w:t>
            </w:r>
          </w:p>
        </w:tc>
        <w:tc>
          <w:tcPr>
            <w:tcW w:type="dxa" w:w="1881"/>
          </w:tcPr>
          <w:p>
            <w:r>
              <w:t>existence, evaluation</w:t>
            </w:r>
          </w:p>
        </w:tc>
        <w:tc>
          <w:tcPr>
            <w:tcW w:type="dxa" w:w="1881"/>
          </w:tcPr>
          <w:p>
            <w:r/>
          </w:p>
        </w:tc>
      </w:tr>
      <w:tr>
        <w:tc>
          <w:tcPr>
            <w:tcW w:type="dxa" w:w="1881"/>
          </w:tcPr>
          <w:p>
            <w:r>
              <w:t>Amortissement incomplet des immobilisations acquises</w:t>
            </w:r>
          </w:p>
        </w:tc>
        <w:tc>
          <w:tcPr>
            <w:tcW w:type="dxa" w:w="1881"/>
          </w:tcPr>
          <w:p>
            <w:r>
              <w:t>MOYEN</w:t>
            </w:r>
          </w:p>
        </w:tc>
        <w:tc>
          <w:tcPr>
            <w:tcW w:type="dxa" w:w="1881"/>
          </w:tcPr>
          <w:p>
            <w:r>
              <w:t>Manuel</w:t>
            </w:r>
          </w:p>
        </w:tc>
        <w:tc>
          <w:tcPr>
            <w:tcW w:type="dxa" w:w="1881"/>
          </w:tcPr>
          <w:p>
            <w:r>
              <w:t>evaluation</w:t>
            </w:r>
          </w:p>
        </w:tc>
        <w:tc>
          <w:tcPr>
            <w:tcW w:type="dxa" w:w="1881"/>
          </w:tcPr>
          <w:p>
            <w:r/>
          </w:p>
        </w:tc>
      </w:tr>
    </w:tbl>
    <w:p/>
    <w:p>
      <w:pPr>
        <w:pStyle w:val="Heading2"/>
      </w:pPr>
      <w:r>
        <w:t>Cycle : Tresorerie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Éléments en rapprochement bancaire à la clôture</w:t>
            </w:r>
          </w:p>
        </w:tc>
        <w:tc>
          <w:tcPr>
            <w:tcW w:type="dxa" w:w="1881"/>
          </w:tcPr>
          <w:p>
            <w:r>
              <w:t>ÉLEVÉ</w:t>
            </w:r>
          </w:p>
        </w:tc>
        <w:tc>
          <w:tcPr>
            <w:tcW w:type="dxa" w:w="1881"/>
          </w:tcPr>
          <w:p>
            <w:r>
              <w:t>IA</w:t>
            </w:r>
          </w:p>
        </w:tc>
        <w:tc>
          <w:tcPr>
            <w:tcW w:type="dxa" w:w="1881"/>
          </w:tcPr>
          <w:p>
            <w:r>
              <w:t>existence, exhaustivite</w:t>
            </w:r>
          </w:p>
        </w:tc>
        <w:tc>
          <w:tcPr>
            <w:tcW w:type="dxa" w:w="1881"/>
          </w:tcPr>
          <w:p>
            <w:r/>
          </w:p>
        </w:tc>
      </w:tr>
      <w:tr>
        <w:tc>
          <w:tcPr>
            <w:tcW w:type="dxa" w:w="1881"/>
          </w:tcPr>
          <w:p>
            <w:r>
              <w:t>Manipulation des encaissements en espèces</w:t>
            </w:r>
          </w:p>
        </w:tc>
        <w:tc>
          <w:tcPr>
            <w:tcW w:type="dxa" w:w="1881"/>
          </w:tcPr>
          <w:p>
            <w:r>
              <w:t>MOYEN</w:t>
            </w:r>
          </w:p>
        </w:tc>
        <w:tc>
          <w:tcPr>
            <w:tcW w:type="dxa" w:w="1881"/>
          </w:tcPr>
          <w:p>
            <w:r>
              <w:t>IA</w:t>
            </w:r>
          </w:p>
        </w:tc>
        <w:tc>
          <w:tcPr>
            <w:tcW w:type="dxa" w:w="1881"/>
          </w:tcPr>
          <w:p>
            <w:r>
              <w:t>exhaustivite</w:t>
            </w:r>
          </w:p>
        </w:tc>
        <w:tc>
          <w:tcPr>
            <w:tcW w:type="dxa" w:w="1881"/>
          </w:tcPr>
          <w:p>
            <w:r/>
          </w:p>
        </w:tc>
      </w:tr>
    </w:tbl>
    <w:p/>
    <w:p>
      <w:pPr>
        <w:pStyle w:val="Heading2"/>
      </w:pPr>
      <w:r>
        <w:t>Cycle : Ventes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Séparation des exercices sur les ventes de décembre</w:t>
            </w:r>
          </w:p>
        </w:tc>
        <w:tc>
          <w:tcPr>
            <w:tcW w:type="dxa" w:w="1881"/>
          </w:tcPr>
          <w:p>
            <w:r>
              <w:t>ÉLEVÉ</w:t>
            </w:r>
          </w:p>
        </w:tc>
        <w:tc>
          <w:tcPr>
            <w:tcW w:type="dxa" w:w="1881"/>
          </w:tcPr>
          <w:p>
            <w:r>
              <w:t>IA</w:t>
            </w:r>
          </w:p>
        </w:tc>
        <w:tc>
          <w:tcPr>
            <w:tcW w:type="dxa" w:w="1881"/>
          </w:tcPr>
          <w:p>
            <w:r>
              <w:t>cut_off, existence</w:t>
            </w:r>
          </w:p>
        </w:tc>
        <w:tc>
          <w:tcPr>
            <w:tcW w:type="dxa" w:w="1881"/>
          </w:tcPr>
          <w:p>
            <w:r/>
          </w:p>
        </w:tc>
      </w:tr>
      <w:tr>
        <w:tc>
          <w:tcPr>
            <w:tcW w:type="dxa" w:w="1881"/>
          </w:tcPr>
          <w:p>
            <w:r>
              <w:t>Recouvrabilité des créances clients anciennes</w:t>
            </w:r>
          </w:p>
        </w:tc>
        <w:tc>
          <w:tcPr>
            <w:tcW w:type="dxa" w:w="1881"/>
          </w:tcPr>
          <w:p>
            <w:r>
              <w:t>ÉLEVÉ</w:t>
            </w:r>
          </w:p>
        </w:tc>
        <w:tc>
          <w:tcPr>
            <w:tcW w:type="dxa" w:w="1881"/>
          </w:tcPr>
          <w:p>
            <w:r>
              <w:t>IA</w:t>
            </w:r>
          </w:p>
        </w:tc>
        <w:tc>
          <w:tcPr>
            <w:tcW w:type="dxa" w:w="1881"/>
          </w:tcPr>
          <w:p>
            <w:r>
              <w:t>evaluation</w:t>
            </w:r>
          </w:p>
        </w:tc>
        <w:tc>
          <w:tcPr>
            <w:tcW w:type="dxa" w:w="1881"/>
          </w:tcPr>
          <w:p>
            <w:r/>
          </w:p>
        </w:tc>
      </w:tr>
      <w:tr>
        <w:tc>
          <w:tcPr>
            <w:tcW w:type="dxa" w:w="1881"/>
          </w:tcPr>
          <w:p>
            <w:r>
              <w:t>Fiabilité de la ressaisie de la facturation Excel</w:t>
            </w:r>
          </w:p>
        </w:tc>
        <w:tc>
          <w:tcPr>
            <w:tcW w:type="dxa" w:w="1881"/>
          </w:tcPr>
          <w:p>
            <w:r>
              <w:t>MOYEN</w:t>
            </w:r>
          </w:p>
        </w:tc>
        <w:tc>
          <w:tcPr>
            <w:tcW w:type="dxa" w:w="1881"/>
          </w:tcPr>
          <w:p>
            <w:r>
              <w:t>IA</w:t>
            </w:r>
          </w:p>
        </w:tc>
        <w:tc>
          <w:tcPr>
            <w:tcW w:type="dxa" w:w="1881"/>
          </w:tcPr>
          <w:p>
            <w:r>
              <w:t>exhaustivite</w:t>
            </w:r>
          </w:p>
        </w:tc>
        <w:tc>
          <w:tcPr>
            <w:tcW w:type="dxa" w:w="1881"/>
          </w:tcPr>
          <w:p>
            <w:r/>
          </w:p>
        </w:tc>
      </w:tr>
    </w:tbl>
    <w:p/>
    <w:p>
      <w:r>
        <w:br w:type="page"/>
      </w:r>
    </w:p>
    <w:p>
      <w:pPr>
        <w:pStyle w:val="Heading1"/>
      </w:pPr>
      <w:r>
        <w:rPr>
          <w:color w:val="4F46E5"/>
        </w:rPr>
        <w:t>6. Programme de travail (ISA 300 / ISA 330)</w:t>
      </w:r>
    </w:p>
    <w:p>
      <w:r>
        <w:rPr>
          <w:b w:val="0"/>
          <w:i w:val="0"/>
          <w:sz w:val="22"/>
        </w:rPr>
        <w:t>Le programme de travail inclut l'ensemble des contrôles des cycles couverts, avec une priorité haute sur les cycles porteurs de risques élevés. Cette intensité répond directement à la cartographie : chaque contrôle inclus est rattaché au risque qu'il adresse, conformément à la démarche de réponse aux risques évalués.</w:t>
      </w:r>
    </w:p>
    <w:p>
      <w:r>
        <w:rPr>
          <w:b w:val="0"/>
          <w:i w:val="0"/>
          <w:sz w:val="22"/>
        </w:rPr>
        <w:t>52 contrôle(s) inclus dans le programme sur 52 planifiés. 0 contrôle(s) exclu(s) sur la base du niveau de risque et du seuil de signification.</w:t>
      </w:r>
    </w:p>
    <w:p>
      <w:pPr>
        <w:pStyle w:val="Heading2"/>
      </w:pPr>
      <w:r>
        <w:t>Cycle : Achats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ACHAT-GL-COHER</w:t>
            </w:r>
          </w:p>
        </w:tc>
        <w:tc>
          <w:tcPr>
            <w:tcW w:type="dxa" w:w="2351"/>
          </w:tcPr>
          <w:p>
            <w:r>
              <w:t>Cohérence grand livre / balance — Achats</w:t>
            </w:r>
          </w:p>
        </w:tc>
        <w:tc>
          <w:tcPr>
            <w:tcW w:type="dxa" w:w="2351"/>
          </w:tcPr>
          <w:p>
            <w:r>
              <w:t>normale</w:t>
            </w:r>
          </w:p>
        </w:tc>
        <w:tc>
          <w:tcPr>
            <w:tcW w:type="dxa" w:w="2351"/>
          </w:tcPr>
          <w:p>
            <w:r/>
          </w:p>
        </w:tc>
      </w:tr>
      <w:tr>
        <w:tc>
          <w:tcPr>
            <w:tcW w:type="dxa" w:w="2351"/>
          </w:tcPr>
          <w:p>
            <w:r>
              <w:t>ACHAT-SEQ-FACTURES</w:t>
            </w:r>
          </w:p>
        </w:tc>
        <w:tc>
          <w:tcPr>
            <w:tcW w:type="dxa" w:w="2351"/>
          </w:tcPr>
          <w:p>
            <w:r>
              <w:t>Continuité des séquences de factures — Achats</w:t>
            </w:r>
          </w:p>
        </w:tc>
        <w:tc>
          <w:tcPr>
            <w:tcW w:type="dxa" w:w="2351"/>
          </w:tcPr>
          <w:p>
            <w:r>
              <w:t>normale</w:t>
            </w:r>
          </w:p>
        </w:tc>
        <w:tc>
          <w:tcPr>
            <w:tcW w:type="dxa" w:w="2351"/>
          </w:tcPr>
          <w:p>
            <w:r/>
          </w:p>
        </w:tc>
      </w:tr>
      <w:tr>
        <w:tc>
          <w:tcPr>
            <w:tcW w:type="dxa" w:w="2351"/>
          </w:tcPr>
          <w:p>
            <w:r>
              <w:t>ACHAT-VARIATION</w:t>
            </w:r>
          </w:p>
        </w:tc>
        <w:tc>
          <w:tcPr>
            <w:tcW w:type="dxa" w:w="2351"/>
          </w:tcPr>
          <w:p>
            <w:r>
              <w:t>Variations N/N-1 — Achats</w:t>
            </w:r>
          </w:p>
        </w:tc>
        <w:tc>
          <w:tcPr>
            <w:tcW w:type="dxa" w:w="2351"/>
          </w:tcPr>
          <w:p>
            <w:r>
              <w:t>normale</w:t>
            </w:r>
          </w:p>
        </w:tc>
        <w:tc>
          <w:tcPr>
            <w:tcW w:type="dxa" w:w="2351"/>
          </w:tcPr>
          <w:p>
            <w:r/>
          </w:p>
        </w:tc>
      </w:tr>
      <w:tr>
        <w:tc>
          <w:tcPr>
            <w:tcW w:type="dxa" w:w="2351"/>
          </w:tcPr>
          <w:p>
            <w:r>
              <w:t>ACHAT-SOLDE-DEBITEUR</w:t>
            </w:r>
          </w:p>
        </w:tc>
        <w:tc>
          <w:tcPr>
            <w:tcW w:type="dxa" w:w="2351"/>
          </w:tcPr>
          <w:p>
            <w:r>
              <w:t>Soldes débiteurs anormaux — Fournisseurs</w:t>
            </w:r>
          </w:p>
        </w:tc>
        <w:tc>
          <w:tcPr>
            <w:tcW w:type="dxa" w:w="2351"/>
          </w:tcPr>
          <w:p>
            <w:r>
              <w:t>normale</w:t>
            </w:r>
          </w:p>
        </w:tc>
        <w:tc>
          <w:tcPr>
            <w:tcW w:type="dxa" w:w="2351"/>
          </w:tcPr>
          <w:p>
            <w:r/>
          </w:p>
        </w:tc>
      </w:tr>
      <w:tr>
        <w:tc>
          <w:tcPr>
            <w:tcW w:type="dxa" w:w="2351"/>
          </w:tcPr>
          <w:p>
            <w:r>
              <w:t>ACHAT-DOUBLON</w:t>
            </w:r>
          </w:p>
        </w:tc>
        <w:tc>
          <w:tcPr>
            <w:tcW w:type="dxa" w:w="2351"/>
          </w:tcPr>
          <w:p>
            <w:r>
              <w:t>Doublons de factures fournisseurs</w:t>
            </w:r>
          </w:p>
        </w:tc>
        <w:tc>
          <w:tcPr>
            <w:tcW w:type="dxa" w:w="2351"/>
          </w:tcPr>
          <w:p>
            <w:r>
              <w:t>normale</w:t>
            </w:r>
          </w:p>
        </w:tc>
        <w:tc>
          <w:tcPr>
            <w:tcW w:type="dxa" w:w="2351"/>
          </w:tcPr>
          <w:p>
            <w:r/>
          </w:p>
        </w:tc>
      </w:tr>
      <w:tr>
        <w:tc>
          <w:tcPr>
            <w:tcW w:type="dxa" w:w="2351"/>
          </w:tcPr>
          <w:p>
            <w:r>
              <w:t>ACHAT-CONCENTRATION</w:t>
            </w:r>
          </w:p>
        </w:tc>
        <w:tc>
          <w:tcPr>
            <w:tcW w:type="dxa" w:w="2351"/>
          </w:tcPr>
          <w:p>
            <w:r>
              <w:t>Concentration des achats sur un fournisseur</w:t>
            </w:r>
          </w:p>
        </w:tc>
        <w:tc>
          <w:tcPr>
            <w:tcW w:type="dxa" w:w="2351"/>
          </w:tcPr>
          <w:p>
            <w:r>
              <w:t>normale</w:t>
            </w:r>
          </w:p>
        </w:tc>
        <w:tc>
          <w:tcPr>
            <w:tcW w:type="dxa" w:w="2351"/>
          </w:tcPr>
          <w:p>
            <w:r/>
          </w:p>
        </w:tc>
      </w:tr>
      <w:tr>
        <w:tc>
          <w:tcPr>
            <w:tcW w:type="dxa" w:w="2351"/>
          </w:tcPr>
          <w:p>
            <w:r>
              <w:t>ACHAT-AVOIR</w:t>
            </w:r>
          </w:p>
        </w:tc>
        <w:tc>
          <w:tcPr>
            <w:tcW w:type="dxa" w:w="2351"/>
          </w:tcPr>
          <w:p>
            <w:r>
              <w:t>Ratio avoirs / achats anormal</w:t>
            </w:r>
          </w:p>
        </w:tc>
        <w:tc>
          <w:tcPr>
            <w:tcW w:type="dxa" w:w="2351"/>
          </w:tcPr>
          <w:p>
            <w:r>
              <w:t>normale</w:t>
            </w:r>
          </w:p>
        </w:tc>
        <w:tc>
          <w:tcPr>
            <w:tcW w:type="dxa" w:w="2351"/>
          </w:tcPr>
          <w:p>
            <w:r/>
          </w:p>
        </w:tc>
      </w:tr>
      <w:tr>
        <w:tc>
          <w:tcPr>
            <w:tcW w:type="dxa" w:w="2351"/>
          </w:tcPr>
          <w:p>
            <w:r>
              <w:t>ACHAT-ROUND</w:t>
            </w:r>
          </w:p>
        </w:tc>
        <w:tc>
          <w:tcPr>
            <w:tcW w:type="dxa" w:w="2351"/>
          </w:tcPr>
          <w:p>
            <w:r>
              <w:t>Concentration de montants ronds — Achats</w:t>
            </w:r>
          </w:p>
        </w:tc>
        <w:tc>
          <w:tcPr>
            <w:tcW w:type="dxa" w:w="2351"/>
          </w:tcPr>
          <w:p>
            <w:r>
              <w:t>normale</w:t>
            </w:r>
          </w:p>
        </w:tc>
        <w:tc>
          <w:tcPr>
            <w:tcW w:type="dxa" w:w="2351"/>
          </w:tcPr>
          <w:p>
            <w:r/>
          </w:p>
        </w:tc>
      </w:tr>
      <w:tr>
        <w:tc>
          <w:tcPr>
            <w:tcW w:type="dxa" w:w="2351"/>
          </w:tcPr>
          <w:p>
            <w:r>
              <w:t>ACHAT-CUT-OFF</w:t>
            </w:r>
          </w:p>
        </w:tc>
        <w:tc>
          <w:tcPr>
            <w:tcW w:type="dxa" w:w="2351"/>
          </w:tcPr>
          <w:p>
            <w:r>
              <w:t>Achats concentrés en fin d'exercice</w:t>
            </w:r>
          </w:p>
        </w:tc>
        <w:tc>
          <w:tcPr>
            <w:tcW w:type="dxa" w:w="2351"/>
          </w:tcPr>
          <w:p>
            <w:r>
              <w:t>normale</w:t>
            </w:r>
          </w:p>
        </w:tc>
        <w:tc>
          <w:tcPr>
            <w:tcW w:type="dxa" w:w="2351"/>
          </w:tcPr>
          <w:p>
            <w:r/>
          </w:p>
        </w:tc>
      </w:tr>
    </w:tbl>
    <w:p/>
    <w:p>
      <w:pPr>
        <w:pStyle w:val="Heading2"/>
      </w:pPr>
      <w:r>
        <w:t>Cycle : Capitaux_propres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CP-GL-COHER</w:t>
            </w:r>
          </w:p>
        </w:tc>
        <w:tc>
          <w:tcPr>
            <w:tcW w:type="dxa" w:w="2351"/>
          </w:tcPr>
          <w:p>
            <w:r>
              <w:t>Cohérence grand livre / balance — Capitaux propres</w:t>
            </w:r>
          </w:p>
        </w:tc>
        <w:tc>
          <w:tcPr>
            <w:tcW w:type="dxa" w:w="2351"/>
          </w:tcPr>
          <w:p>
            <w:r>
              <w:t>normale</w:t>
            </w:r>
          </w:p>
        </w:tc>
        <w:tc>
          <w:tcPr>
            <w:tcW w:type="dxa" w:w="2351"/>
          </w:tcPr>
          <w:p>
            <w:r/>
          </w:p>
        </w:tc>
      </w:tr>
      <w:tr>
        <w:tc>
          <w:tcPr>
            <w:tcW w:type="dxa" w:w="2351"/>
          </w:tcPr>
          <w:p>
            <w:r>
              <w:t>CP-VARIATION</w:t>
            </w:r>
          </w:p>
        </w:tc>
        <w:tc>
          <w:tcPr>
            <w:tcW w:type="dxa" w:w="2351"/>
          </w:tcPr>
          <w:p>
            <w:r>
              <w:t>Variations N/N-1 — Capitaux propres</w:t>
            </w:r>
          </w:p>
        </w:tc>
        <w:tc>
          <w:tcPr>
            <w:tcW w:type="dxa" w:w="2351"/>
          </w:tcPr>
          <w:p>
            <w:r>
              <w:t>normale</w:t>
            </w:r>
          </w:p>
        </w:tc>
        <w:tc>
          <w:tcPr>
            <w:tcW w:type="dxa" w:w="2351"/>
          </w:tcPr>
          <w:p>
            <w:r/>
          </w:p>
        </w:tc>
      </w:tr>
      <w:tr>
        <w:tc>
          <w:tcPr>
            <w:tcW w:type="dxa" w:w="2351"/>
          </w:tcPr>
          <w:p>
            <w:r>
              <w:t>CP-PROVISION-MOUVEMENT</w:t>
            </w:r>
          </w:p>
        </w:tc>
        <w:tc>
          <w:tcPr>
            <w:tcW w:type="dxa" w:w="2351"/>
          </w:tcPr>
          <w:p>
            <w:r>
              <w:t>Mouvements de provisions pour risques sans charge (15x / 68x)</w:t>
            </w:r>
          </w:p>
        </w:tc>
        <w:tc>
          <w:tcPr>
            <w:tcW w:type="dxa" w:w="2351"/>
          </w:tcPr>
          <w:p>
            <w:r>
              <w:t>normale</w:t>
            </w:r>
          </w:p>
        </w:tc>
        <w:tc>
          <w:tcPr>
            <w:tcW w:type="dxa" w:w="2351"/>
          </w:tcPr>
          <w:p>
            <w:r/>
          </w:p>
        </w:tc>
      </w:tr>
      <w:tr>
        <w:tc>
          <w:tcPr>
            <w:tcW w:type="dxa" w:w="2351"/>
          </w:tcPr>
          <w:p>
            <w:r>
              <w:t>CP-RESULTAT-COHERENCE</w:t>
            </w:r>
          </w:p>
        </w:tc>
        <w:tc>
          <w:tcPr>
            <w:tcW w:type="dxa" w:w="2351"/>
          </w:tcPr>
          <w:p>
            <w:r>
              <w:t>Cohérence des comptes de résultat (120 / 129)</w:t>
            </w:r>
          </w:p>
        </w:tc>
        <w:tc>
          <w:tcPr>
            <w:tcW w:type="dxa" w:w="2351"/>
          </w:tcPr>
          <w:p>
            <w:r>
              <w:t>normale</w:t>
            </w:r>
          </w:p>
        </w:tc>
        <w:tc>
          <w:tcPr>
            <w:tcW w:type="dxa" w:w="2351"/>
          </w:tcPr>
          <w:p>
            <w:r/>
          </w:p>
        </w:tc>
      </w:tr>
      <w:tr>
        <w:tc>
          <w:tcPr>
            <w:tcW w:type="dxa" w:w="2351"/>
          </w:tcPr>
          <w:p>
            <w:r>
              <w:t>CP-SOLDE-ANORMAL</w:t>
            </w:r>
          </w:p>
        </w:tc>
        <w:tc>
          <w:tcPr>
            <w:tcW w:type="dxa" w:w="2351"/>
          </w:tcPr>
          <w:p>
            <w:r>
              <w:t>Capitaux propres négatifs — Soldes débiteurs anormaux</w:t>
            </w:r>
          </w:p>
        </w:tc>
        <w:tc>
          <w:tcPr>
            <w:tcW w:type="dxa" w:w="2351"/>
          </w:tcPr>
          <w:p>
            <w:r>
              <w:t>normale</w:t>
            </w:r>
          </w:p>
        </w:tc>
        <w:tc>
          <w:tcPr>
            <w:tcW w:type="dxa" w:w="2351"/>
          </w:tcPr>
          <w:p>
            <w:r/>
          </w:p>
        </w:tc>
      </w:tr>
    </w:tbl>
    <w:p/>
    <w:p>
      <w:pPr>
        <w:pStyle w:val="Heading2"/>
      </w:pPr>
      <w:r>
        <w:t>Cycle : Immobilisations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IMO-GL-COHER</w:t>
            </w:r>
          </w:p>
        </w:tc>
        <w:tc>
          <w:tcPr>
            <w:tcW w:type="dxa" w:w="2351"/>
          </w:tcPr>
          <w:p>
            <w:r>
              <w:t>Cohérence grand livre / balance — Immobilisations</w:t>
            </w:r>
          </w:p>
        </w:tc>
        <w:tc>
          <w:tcPr>
            <w:tcW w:type="dxa" w:w="2351"/>
          </w:tcPr>
          <w:p>
            <w:r>
              <w:t>normale</w:t>
            </w:r>
          </w:p>
        </w:tc>
        <w:tc>
          <w:tcPr>
            <w:tcW w:type="dxa" w:w="2351"/>
          </w:tcPr>
          <w:p>
            <w:r/>
          </w:p>
        </w:tc>
      </w:tr>
      <w:tr>
        <w:tc>
          <w:tcPr>
            <w:tcW w:type="dxa" w:w="2351"/>
          </w:tcPr>
          <w:p>
            <w:r>
              <w:t>IMO-AMORTISSEMENT</w:t>
            </w:r>
          </w:p>
        </w:tc>
        <w:tc>
          <w:tcPr>
            <w:tcW w:type="dxa" w:w="2351"/>
          </w:tcPr>
          <w:p>
            <w:r>
              <w:t>Sous-amortissement — Immobilisations sans amortissements cumulés</w:t>
            </w:r>
          </w:p>
        </w:tc>
        <w:tc>
          <w:tcPr>
            <w:tcW w:type="dxa" w:w="2351"/>
          </w:tcPr>
          <w:p>
            <w:r>
              <w:t>normale</w:t>
            </w:r>
          </w:p>
        </w:tc>
        <w:tc>
          <w:tcPr>
            <w:tcW w:type="dxa" w:w="2351"/>
          </w:tcPr>
          <w:p>
            <w:r/>
          </w:p>
        </w:tc>
      </w:tr>
      <w:tr>
        <w:tc>
          <w:tcPr>
            <w:tcW w:type="dxa" w:w="2351"/>
          </w:tcPr>
          <w:p>
            <w:r>
              <w:t>IMO-AMORT-EXCEDENT</w:t>
            </w:r>
          </w:p>
        </w:tc>
        <w:tc>
          <w:tcPr>
            <w:tcW w:type="dxa" w:w="2351"/>
          </w:tcPr>
          <w:p>
            <w:r>
              <w:t>Amortissements cumulés supérieurs à la valeur brute</w:t>
            </w:r>
          </w:p>
        </w:tc>
        <w:tc>
          <w:tcPr>
            <w:tcW w:type="dxa" w:w="2351"/>
          </w:tcPr>
          <w:p>
            <w:r>
              <w:t>normale</w:t>
            </w:r>
          </w:p>
        </w:tc>
        <w:tc>
          <w:tcPr>
            <w:tcW w:type="dxa" w:w="2351"/>
          </w:tcPr>
          <w:p>
            <w:r/>
          </w:p>
        </w:tc>
      </w:tr>
      <w:tr>
        <w:tc>
          <w:tcPr>
            <w:tcW w:type="dxa" w:w="2351"/>
          </w:tcPr>
          <w:p>
            <w:r>
              <w:t>IMO-VARIATION</w:t>
            </w:r>
          </w:p>
        </w:tc>
        <w:tc>
          <w:tcPr>
            <w:tcW w:type="dxa" w:w="2351"/>
          </w:tcPr>
          <w:p>
            <w:r>
              <w:t>Variations N/N-1 — Immobilisations</w:t>
            </w:r>
          </w:p>
        </w:tc>
        <w:tc>
          <w:tcPr>
            <w:tcW w:type="dxa" w:w="2351"/>
          </w:tcPr>
          <w:p>
            <w:r>
              <w:t>normale</w:t>
            </w:r>
          </w:p>
        </w:tc>
        <w:tc>
          <w:tcPr>
            <w:tcW w:type="dxa" w:w="2351"/>
          </w:tcPr>
          <w:p>
            <w:r/>
          </w:p>
        </w:tc>
      </w:tr>
      <w:tr>
        <w:tc>
          <w:tcPr>
            <w:tcW w:type="dxa" w:w="2351"/>
          </w:tcPr>
          <w:p>
            <w:r>
              <w:t>IMO-SOLDE-ANORMAL</w:t>
            </w:r>
          </w:p>
        </w:tc>
        <w:tc>
          <w:tcPr>
            <w:tcW w:type="dxa" w:w="2351"/>
          </w:tcPr>
          <w:p>
            <w:r>
              <w:t>Soldes créditeurs anormaux — Immobilisations brutes</w:t>
            </w:r>
          </w:p>
        </w:tc>
        <w:tc>
          <w:tcPr>
            <w:tcW w:type="dxa" w:w="2351"/>
          </w:tcPr>
          <w:p>
            <w:r>
              <w:t>normale</w:t>
            </w:r>
          </w:p>
        </w:tc>
        <w:tc>
          <w:tcPr>
            <w:tcW w:type="dxa" w:w="2351"/>
          </w:tcPr>
          <w:p>
            <w:r/>
          </w:p>
        </w:tc>
      </w:tr>
    </w:tbl>
    <w:p/>
    <w:p>
      <w:pPr>
        <w:pStyle w:val="Heading2"/>
      </w:pPr>
      <w:r>
        <w:t>Cycle : Impots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TAXE-GL-COHER</w:t>
            </w:r>
          </w:p>
        </w:tc>
        <w:tc>
          <w:tcPr>
            <w:tcW w:type="dxa" w:w="2351"/>
          </w:tcPr>
          <w:p>
            <w:r>
              <w:t>Cohérence grand livre / balance — Impôts et taxes</w:t>
            </w:r>
          </w:p>
        </w:tc>
        <w:tc>
          <w:tcPr>
            <w:tcW w:type="dxa" w:w="2351"/>
          </w:tcPr>
          <w:p>
            <w:r>
              <w:t>normale</w:t>
            </w:r>
          </w:p>
        </w:tc>
        <w:tc>
          <w:tcPr>
            <w:tcW w:type="dxa" w:w="2351"/>
          </w:tcPr>
          <w:p>
            <w:r/>
          </w:p>
        </w:tc>
      </w:tr>
      <w:tr>
        <w:tc>
          <w:tcPr>
            <w:tcW w:type="dxa" w:w="2351"/>
          </w:tcPr>
          <w:p>
            <w:r>
              <w:t>TAXE-VARIATION</w:t>
            </w:r>
          </w:p>
        </w:tc>
        <w:tc>
          <w:tcPr>
            <w:tcW w:type="dxa" w:w="2351"/>
          </w:tcPr>
          <w:p>
            <w:r>
              <w:t>Variations N/N-1 — Impôts et taxes</w:t>
            </w:r>
          </w:p>
        </w:tc>
        <w:tc>
          <w:tcPr>
            <w:tcW w:type="dxa" w:w="2351"/>
          </w:tcPr>
          <w:p>
            <w:r>
              <w:t>normale</w:t>
            </w:r>
          </w:p>
        </w:tc>
        <w:tc>
          <w:tcPr>
            <w:tcW w:type="dxa" w:w="2351"/>
          </w:tcPr>
          <w:p>
            <w:r/>
          </w:p>
        </w:tc>
      </w:tr>
      <w:tr>
        <w:tc>
          <w:tcPr>
            <w:tcW w:type="dxa" w:w="2351"/>
          </w:tcPr>
          <w:p>
            <w:r>
              <w:t>TAXE-TVA-COHERENCE</w:t>
            </w:r>
          </w:p>
        </w:tc>
        <w:tc>
          <w:tcPr>
            <w:tcW w:type="dxa" w:w="2351"/>
          </w:tcPr>
          <w:p>
            <w:r>
              <w:t>Cohérence TVA déductible / TVA collectée</w:t>
            </w:r>
          </w:p>
        </w:tc>
        <w:tc>
          <w:tcPr>
            <w:tcW w:type="dxa" w:w="2351"/>
          </w:tcPr>
          <w:p>
            <w:r>
              <w:t>normale</w:t>
            </w:r>
          </w:p>
        </w:tc>
        <w:tc>
          <w:tcPr>
            <w:tcW w:type="dxa" w:w="2351"/>
          </w:tcPr>
          <w:p>
            <w:r/>
          </w:p>
        </w:tc>
      </w:tr>
      <w:tr>
        <w:tc>
          <w:tcPr>
            <w:tcW w:type="dxa" w:w="2351"/>
          </w:tcPr>
          <w:p>
            <w:r>
              <w:t>TAXE-SOLDE-ANORMAL</w:t>
            </w:r>
          </w:p>
        </w:tc>
        <w:tc>
          <w:tcPr>
            <w:tcW w:type="dxa" w:w="2351"/>
          </w:tcPr>
          <w:p>
            <w:r>
              <w:t>Soldes anormaux — Comptes de TVA et impôts</w:t>
            </w:r>
          </w:p>
        </w:tc>
        <w:tc>
          <w:tcPr>
            <w:tcW w:type="dxa" w:w="2351"/>
          </w:tcPr>
          <w:p>
            <w:r>
              <w:t>normale</w:t>
            </w:r>
          </w:p>
        </w:tc>
        <w:tc>
          <w:tcPr>
            <w:tcW w:type="dxa" w:w="2351"/>
          </w:tcPr>
          <w:p>
            <w:r/>
          </w:p>
        </w:tc>
      </w:tr>
      <w:tr>
        <w:tc>
          <w:tcPr>
            <w:tcW w:type="dxa" w:w="2351"/>
          </w:tcPr>
          <w:p>
            <w:r>
              <w:t>TAXE-CUT-OFF</w:t>
            </w:r>
          </w:p>
        </w:tc>
        <w:tc>
          <w:tcPr>
            <w:tcW w:type="dxa" w:w="2351"/>
          </w:tcPr>
          <w:p>
            <w:r>
              <w:t>Charges fiscales concentrées en fin d'exercice</w:t>
            </w:r>
          </w:p>
        </w:tc>
        <w:tc>
          <w:tcPr>
            <w:tcW w:type="dxa" w:w="2351"/>
          </w:tcPr>
          <w:p>
            <w:r>
              <w:t>normale</w:t>
            </w:r>
          </w:p>
        </w:tc>
        <w:tc>
          <w:tcPr>
            <w:tcW w:type="dxa" w:w="2351"/>
          </w:tcPr>
          <w:p>
            <w:r/>
          </w:p>
        </w:tc>
      </w:tr>
    </w:tbl>
    <w:p/>
    <w:p>
      <w:pPr>
        <w:pStyle w:val="Heading2"/>
      </w:pPr>
      <w:r>
        <w:t>Cycle : Paie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PAIE-GL-COHER</w:t>
            </w:r>
          </w:p>
        </w:tc>
        <w:tc>
          <w:tcPr>
            <w:tcW w:type="dxa" w:w="2351"/>
          </w:tcPr>
          <w:p>
            <w:r>
              <w:t>Cohérence grand livre / balance — Paie</w:t>
            </w:r>
          </w:p>
        </w:tc>
        <w:tc>
          <w:tcPr>
            <w:tcW w:type="dxa" w:w="2351"/>
          </w:tcPr>
          <w:p>
            <w:r>
              <w:t>normale</w:t>
            </w:r>
          </w:p>
        </w:tc>
        <w:tc>
          <w:tcPr>
            <w:tcW w:type="dxa" w:w="2351"/>
          </w:tcPr>
          <w:p>
            <w:r/>
          </w:p>
        </w:tc>
      </w:tr>
      <w:tr>
        <w:tc>
          <w:tcPr>
            <w:tcW w:type="dxa" w:w="2351"/>
          </w:tcPr>
          <w:p>
            <w:r>
              <w:t>PAIE-VARIATION</w:t>
            </w:r>
          </w:p>
        </w:tc>
        <w:tc>
          <w:tcPr>
            <w:tcW w:type="dxa" w:w="2351"/>
          </w:tcPr>
          <w:p>
            <w:r>
              <w:t>Variations N/N-1 — Charges de personnel</w:t>
            </w:r>
          </w:p>
        </w:tc>
        <w:tc>
          <w:tcPr>
            <w:tcW w:type="dxa" w:w="2351"/>
          </w:tcPr>
          <w:p>
            <w:r>
              <w:t>normale</w:t>
            </w:r>
          </w:p>
        </w:tc>
        <w:tc>
          <w:tcPr>
            <w:tcW w:type="dxa" w:w="2351"/>
          </w:tcPr>
          <w:p>
            <w:r/>
          </w:p>
        </w:tc>
      </w:tr>
      <w:tr>
        <w:tc>
          <w:tcPr>
            <w:tcW w:type="dxa" w:w="2351"/>
          </w:tcPr>
          <w:p>
            <w:r>
              <w:t>PAIE-RATIO-SOCIAL</w:t>
            </w:r>
          </w:p>
        </w:tc>
        <w:tc>
          <w:tcPr>
            <w:tcW w:type="dxa" w:w="2351"/>
          </w:tcPr>
          <w:p>
            <w:r>
              <w:t>Ratio charges sociales / salaires bruts hors norme</w:t>
            </w:r>
          </w:p>
        </w:tc>
        <w:tc>
          <w:tcPr>
            <w:tcW w:type="dxa" w:w="2351"/>
          </w:tcPr>
          <w:p>
            <w:r>
              <w:t>normale</w:t>
            </w:r>
          </w:p>
        </w:tc>
        <w:tc>
          <w:tcPr>
            <w:tcW w:type="dxa" w:w="2351"/>
          </w:tcPr>
          <w:p>
            <w:r/>
          </w:p>
        </w:tc>
      </w:tr>
      <w:tr>
        <w:tc>
          <w:tcPr>
            <w:tcW w:type="dxa" w:w="2351"/>
          </w:tcPr>
          <w:p>
            <w:r>
              <w:t>PAIE-MENSUALITE</w:t>
            </w:r>
          </w:p>
        </w:tc>
        <w:tc>
          <w:tcPr>
            <w:tcW w:type="dxa" w:w="2351"/>
          </w:tcPr>
          <w:p>
            <w:r>
              <w:t>Régularité mensuelle des salaires</w:t>
            </w:r>
          </w:p>
        </w:tc>
        <w:tc>
          <w:tcPr>
            <w:tcW w:type="dxa" w:w="2351"/>
          </w:tcPr>
          <w:p>
            <w:r>
              <w:t>normale</w:t>
            </w:r>
          </w:p>
        </w:tc>
        <w:tc>
          <w:tcPr>
            <w:tcW w:type="dxa" w:w="2351"/>
          </w:tcPr>
          <w:p>
            <w:r/>
          </w:p>
        </w:tc>
      </w:tr>
      <w:tr>
        <w:tc>
          <w:tcPr>
            <w:tcW w:type="dxa" w:w="2351"/>
          </w:tcPr>
          <w:p>
            <w:r>
              <w:t>PAIE-SOLDE-ANORMAL</w:t>
            </w:r>
          </w:p>
        </w:tc>
        <w:tc>
          <w:tcPr>
            <w:tcW w:type="dxa" w:w="2351"/>
          </w:tcPr>
          <w:p>
            <w:r>
              <w:t>Soldes débiteurs anormaux — Dettes sociales</w:t>
            </w:r>
          </w:p>
        </w:tc>
        <w:tc>
          <w:tcPr>
            <w:tcW w:type="dxa" w:w="2351"/>
          </w:tcPr>
          <w:p>
            <w:r>
              <w:t>normale</w:t>
            </w:r>
          </w:p>
        </w:tc>
        <w:tc>
          <w:tcPr>
            <w:tcW w:type="dxa" w:w="2351"/>
          </w:tcPr>
          <w:p>
            <w:r/>
          </w:p>
        </w:tc>
      </w:tr>
    </w:tbl>
    <w:p/>
    <w:p>
      <w:pPr>
        <w:pStyle w:val="Heading2"/>
      </w:pPr>
      <w:r>
        <w:t>Cycle : Stocks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STOCK-GL-COHER</w:t>
            </w:r>
          </w:p>
        </w:tc>
        <w:tc>
          <w:tcPr>
            <w:tcW w:type="dxa" w:w="2351"/>
          </w:tcPr>
          <w:p>
            <w:r>
              <w:t>Cohérence grand livre / balance — Stocks</w:t>
            </w:r>
          </w:p>
        </w:tc>
        <w:tc>
          <w:tcPr>
            <w:tcW w:type="dxa" w:w="2351"/>
          </w:tcPr>
          <w:p>
            <w:r>
              <w:t>normale</w:t>
            </w:r>
          </w:p>
        </w:tc>
        <w:tc>
          <w:tcPr>
            <w:tcW w:type="dxa" w:w="2351"/>
          </w:tcPr>
          <w:p>
            <w:r/>
          </w:p>
        </w:tc>
      </w:tr>
      <w:tr>
        <w:tc>
          <w:tcPr>
            <w:tcW w:type="dxa" w:w="2351"/>
          </w:tcPr>
          <w:p>
            <w:r>
              <w:t>STOCK-SOLDE-ANORMAL</w:t>
            </w:r>
          </w:p>
        </w:tc>
        <w:tc>
          <w:tcPr>
            <w:tcW w:type="dxa" w:w="2351"/>
          </w:tcPr>
          <w:p>
            <w:r>
              <w:t>Soldes créditeurs anormaux — Stocks</w:t>
            </w:r>
          </w:p>
        </w:tc>
        <w:tc>
          <w:tcPr>
            <w:tcW w:type="dxa" w:w="2351"/>
          </w:tcPr>
          <w:p>
            <w:r>
              <w:t>normale</w:t>
            </w:r>
          </w:p>
        </w:tc>
        <w:tc>
          <w:tcPr>
            <w:tcW w:type="dxa" w:w="2351"/>
          </w:tcPr>
          <w:p>
            <w:r/>
          </w:p>
        </w:tc>
      </w:tr>
      <w:tr>
        <w:tc>
          <w:tcPr>
            <w:tcW w:type="dxa" w:w="2351"/>
          </w:tcPr>
          <w:p>
            <w:r>
              <w:t>STOCK-VARIATION</w:t>
            </w:r>
          </w:p>
        </w:tc>
        <w:tc>
          <w:tcPr>
            <w:tcW w:type="dxa" w:w="2351"/>
          </w:tcPr>
          <w:p>
            <w:r>
              <w:t>Variations N/N-1 — Stocks</w:t>
            </w:r>
          </w:p>
        </w:tc>
        <w:tc>
          <w:tcPr>
            <w:tcW w:type="dxa" w:w="2351"/>
          </w:tcPr>
          <w:p>
            <w:r>
              <w:t>normale</w:t>
            </w:r>
          </w:p>
        </w:tc>
        <w:tc>
          <w:tcPr>
            <w:tcW w:type="dxa" w:w="2351"/>
          </w:tcPr>
          <w:p>
            <w:r/>
          </w:p>
        </w:tc>
      </w:tr>
      <w:tr>
        <w:tc>
          <w:tcPr>
            <w:tcW w:type="dxa" w:w="2351"/>
          </w:tcPr>
          <w:p>
            <w:r>
              <w:t>STOCK-ROUND</w:t>
            </w:r>
          </w:p>
        </w:tc>
        <w:tc>
          <w:tcPr>
            <w:tcW w:type="dxa" w:w="2351"/>
          </w:tcPr>
          <w:p>
            <w:r>
              <w:t>Concentration de montants ronds — Stocks</w:t>
            </w:r>
          </w:p>
        </w:tc>
        <w:tc>
          <w:tcPr>
            <w:tcW w:type="dxa" w:w="2351"/>
          </w:tcPr>
          <w:p>
            <w:r>
              <w:t>normale</w:t>
            </w:r>
          </w:p>
        </w:tc>
        <w:tc>
          <w:tcPr>
            <w:tcW w:type="dxa" w:w="2351"/>
          </w:tcPr>
          <w:p>
            <w:r/>
          </w:p>
        </w:tc>
      </w:tr>
      <w:tr>
        <w:tc>
          <w:tcPr>
            <w:tcW w:type="dxa" w:w="2351"/>
          </w:tcPr>
          <w:p>
            <w:r>
              <w:t>STOCK-CUT-OFF</w:t>
            </w:r>
          </w:p>
        </w:tc>
        <w:tc>
          <w:tcPr>
            <w:tcW w:type="dxa" w:w="2351"/>
          </w:tcPr>
          <w:p>
            <w:r>
              <w:t>Mouvements de stocks concentrés en fin d'exercice</w:t>
            </w:r>
          </w:p>
        </w:tc>
        <w:tc>
          <w:tcPr>
            <w:tcW w:type="dxa" w:w="2351"/>
          </w:tcPr>
          <w:p>
            <w:r>
              <w:t>normale</w:t>
            </w:r>
          </w:p>
        </w:tc>
        <w:tc>
          <w:tcPr>
            <w:tcW w:type="dxa" w:w="2351"/>
          </w:tcPr>
          <w:p>
            <w:r/>
          </w:p>
        </w:tc>
      </w:tr>
    </w:tbl>
    <w:p/>
    <w:p>
      <w:pPr>
        <w:pStyle w:val="Heading2"/>
      </w:pPr>
      <w:r>
        <w:t>Cycle : Tresorerie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TRESOR-BAL-EQUIL</w:t>
            </w:r>
          </w:p>
        </w:tc>
        <w:tc>
          <w:tcPr>
            <w:tcW w:type="dxa" w:w="2351"/>
          </w:tcPr>
          <w:p>
            <w:r>
              <w:t>Équilibre de la balance</w:t>
            </w:r>
          </w:p>
        </w:tc>
        <w:tc>
          <w:tcPr>
            <w:tcW w:type="dxa" w:w="2351"/>
          </w:tcPr>
          <w:p>
            <w:r>
              <w:t>haute</w:t>
            </w:r>
          </w:p>
        </w:tc>
        <w:tc>
          <w:tcPr>
            <w:tcW w:type="dxa" w:w="2351"/>
          </w:tcPr>
          <w:p>
            <w:r>
              <w:t>Contrôle retenu en réponse aux risques du cycle.</w:t>
            </w:r>
          </w:p>
        </w:tc>
      </w:tr>
      <w:tr>
        <w:tc>
          <w:tcPr>
            <w:tcW w:type="dxa" w:w="2351"/>
          </w:tcPr>
          <w:p>
            <w:r>
              <w:t>TRESOR-GL-COHER</w:t>
            </w:r>
          </w:p>
        </w:tc>
        <w:tc>
          <w:tcPr>
            <w:tcW w:type="dxa" w:w="2351"/>
          </w:tcPr>
          <w:p>
            <w:r>
              <w:t>Cohérence grand livre / balance</w:t>
            </w:r>
          </w:p>
        </w:tc>
        <w:tc>
          <w:tcPr>
            <w:tcW w:type="dxa" w:w="2351"/>
          </w:tcPr>
          <w:p>
            <w:r>
              <w:t>haute</w:t>
            </w:r>
          </w:p>
        </w:tc>
        <w:tc>
          <w:tcPr>
            <w:tcW w:type="dxa" w:w="2351"/>
          </w:tcPr>
          <w:p>
            <w:r>
              <w:t>Contrôle retenu en réponse aux risques du cycle.</w:t>
            </w:r>
          </w:p>
        </w:tc>
      </w:tr>
      <w:tr>
        <w:tc>
          <w:tcPr>
            <w:tcW w:type="dxa" w:w="2351"/>
          </w:tcPr>
          <w:p>
            <w:r>
              <w:t>TRESOR-SEQ-PIECES</w:t>
            </w:r>
          </w:p>
        </w:tc>
        <w:tc>
          <w:tcPr>
            <w:tcW w:type="dxa" w:w="2351"/>
          </w:tcPr>
          <w:p>
            <w:r>
              <w:t>Continuité des séquences de pièces</w:t>
            </w:r>
          </w:p>
        </w:tc>
        <w:tc>
          <w:tcPr>
            <w:tcW w:type="dxa" w:w="2351"/>
          </w:tcPr>
          <w:p>
            <w:r>
              <w:t>haute</w:t>
            </w:r>
          </w:p>
        </w:tc>
        <w:tc>
          <w:tcPr>
            <w:tcW w:type="dxa" w:w="2351"/>
          </w:tcPr>
          <w:p>
            <w:r>
              <w:t>Contrôle retenu en réponse aux risques du cycle.</w:t>
            </w:r>
          </w:p>
        </w:tc>
      </w:tr>
      <w:tr>
        <w:tc>
          <w:tcPr>
            <w:tcW w:type="dxa" w:w="2351"/>
          </w:tcPr>
          <w:p>
            <w:r>
              <w:t>TRESOR-VARIATION</w:t>
            </w:r>
          </w:p>
        </w:tc>
        <w:tc>
          <w:tcPr>
            <w:tcW w:type="dxa" w:w="2351"/>
          </w:tcPr>
          <w:p>
            <w:r>
              <w:t>Variations N/N-1 trésorerie</w:t>
            </w:r>
          </w:p>
        </w:tc>
        <w:tc>
          <w:tcPr>
            <w:tcW w:type="dxa" w:w="2351"/>
          </w:tcPr>
          <w:p>
            <w:r>
              <w:t>haute</w:t>
            </w:r>
          </w:p>
        </w:tc>
        <w:tc>
          <w:tcPr>
            <w:tcW w:type="dxa" w:w="2351"/>
          </w:tcPr>
          <w:p>
            <w:r>
              <w:t>Contrôle retenu en réponse aux risques du cycle.</w:t>
            </w:r>
          </w:p>
        </w:tc>
      </w:tr>
      <w:tr>
        <w:tc>
          <w:tcPr>
            <w:tcW w:type="dxa" w:w="2351"/>
          </w:tcPr>
          <w:p>
            <w:r>
              <w:t>TRESOR-RAPPROCH</w:t>
            </w:r>
          </w:p>
        </w:tc>
        <w:tc>
          <w:tcPr>
            <w:tcW w:type="dxa" w:w="2351"/>
          </w:tcPr>
          <w:p>
            <w:r>
              <w:t>Rapprochement bancaire</w:t>
            </w:r>
          </w:p>
        </w:tc>
        <w:tc>
          <w:tcPr>
            <w:tcW w:type="dxa" w:w="2351"/>
          </w:tcPr>
          <w:p>
            <w:r>
              <w:t>haute</w:t>
            </w:r>
          </w:p>
        </w:tc>
        <w:tc>
          <w:tcPr>
            <w:tcW w:type="dxa" w:w="2351"/>
          </w:tcPr>
          <w:p>
            <w:r>
              <w:t>Contrôle retenu en réponse aux risques du cycle.</w:t>
            </w:r>
          </w:p>
        </w:tc>
      </w:tr>
      <w:tr>
        <w:tc>
          <w:tcPr>
            <w:tcW w:type="dxa" w:w="2351"/>
          </w:tcPr>
          <w:p>
            <w:r>
              <w:t>TRESOR-SOLDE-ANORMAL</w:t>
            </w:r>
          </w:p>
        </w:tc>
        <w:tc>
          <w:tcPr>
            <w:tcW w:type="dxa" w:w="2351"/>
          </w:tcPr>
          <w:p>
            <w:r>
              <w:t>Soldes créditeurs anormaux — Trésorerie</w:t>
            </w:r>
          </w:p>
        </w:tc>
        <w:tc>
          <w:tcPr>
            <w:tcW w:type="dxa" w:w="2351"/>
          </w:tcPr>
          <w:p>
            <w:r>
              <w:t>haute</w:t>
            </w:r>
          </w:p>
        </w:tc>
        <w:tc>
          <w:tcPr>
            <w:tcW w:type="dxa" w:w="2351"/>
          </w:tcPr>
          <w:p>
            <w:r>
              <w:t>Contrôle retenu en réponse aux risques du cycle.</w:t>
            </w:r>
          </w:p>
        </w:tc>
      </w:tr>
      <w:tr>
        <w:tc>
          <w:tcPr>
            <w:tcW w:type="dxa" w:w="2351"/>
          </w:tcPr>
          <w:p>
            <w:r>
              <w:t>TRESOR-ROUND</w:t>
            </w:r>
          </w:p>
        </w:tc>
        <w:tc>
          <w:tcPr>
            <w:tcW w:type="dxa" w:w="2351"/>
          </w:tcPr>
          <w:p>
            <w:r>
              <w:t>Concentration de montants ronds — Trésorerie</w:t>
            </w:r>
          </w:p>
        </w:tc>
        <w:tc>
          <w:tcPr>
            <w:tcW w:type="dxa" w:w="2351"/>
          </w:tcPr>
          <w:p>
            <w:r>
              <w:t>haute</w:t>
            </w:r>
          </w:p>
        </w:tc>
        <w:tc>
          <w:tcPr>
            <w:tcW w:type="dxa" w:w="2351"/>
          </w:tcPr>
          <w:p>
            <w:r>
              <w:t>Contrôle retenu en réponse aux risques du cycle.</w:t>
            </w:r>
          </w:p>
        </w:tc>
      </w:tr>
      <w:tr>
        <w:tc>
          <w:tcPr>
            <w:tcW w:type="dxa" w:w="2351"/>
          </w:tcPr>
          <w:p>
            <w:r>
              <w:t>TRESOR-CUT-OFF</w:t>
            </w:r>
          </w:p>
        </w:tc>
        <w:tc>
          <w:tcPr>
            <w:tcW w:type="dxa" w:w="2351"/>
          </w:tcPr>
          <w:p>
            <w:r>
              <w:t>Concentration d'écritures en fin d'exercice — Trésorerie</w:t>
            </w:r>
          </w:p>
        </w:tc>
        <w:tc>
          <w:tcPr>
            <w:tcW w:type="dxa" w:w="2351"/>
          </w:tcPr>
          <w:p>
            <w:r>
              <w:t>haute</w:t>
            </w:r>
          </w:p>
        </w:tc>
        <w:tc>
          <w:tcPr>
            <w:tcW w:type="dxa" w:w="2351"/>
          </w:tcPr>
          <w:p>
            <w:r>
              <w:t>Contrôle retenu en réponse aux risques du cycle.</w:t>
            </w:r>
          </w:p>
        </w:tc>
      </w:tr>
    </w:tbl>
    <w:p/>
    <w:p>
      <w:pPr>
        <w:pStyle w:val="Heading2"/>
      </w:pPr>
      <w:r>
        <w:t>Cycle : Ventes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VENTE-GL-COHER</w:t>
            </w:r>
          </w:p>
        </w:tc>
        <w:tc>
          <w:tcPr>
            <w:tcW w:type="dxa" w:w="2351"/>
          </w:tcPr>
          <w:p>
            <w:r>
              <w:t>Cohérence grand livre / balance — Ventes</w:t>
            </w:r>
          </w:p>
        </w:tc>
        <w:tc>
          <w:tcPr>
            <w:tcW w:type="dxa" w:w="2351"/>
          </w:tcPr>
          <w:p>
            <w:r>
              <w:t>haute</w:t>
            </w:r>
          </w:p>
        </w:tc>
        <w:tc>
          <w:tcPr>
            <w:tcW w:type="dxa" w:w="2351"/>
          </w:tcPr>
          <w:p>
            <w:r>
              <w:t>Contrôle retenu en réponse aux risques du cycle.</w:t>
            </w:r>
          </w:p>
        </w:tc>
      </w:tr>
      <w:tr>
        <w:tc>
          <w:tcPr>
            <w:tcW w:type="dxa" w:w="2351"/>
          </w:tcPr>
          <w:p>
            <w:r>
              <w:t>VENTE-SEQ-FACTURES</w:t>
            </w:r>
          </w:p>
        </w:tc>
        <w:tc>
          <w:tcPr>
            <w:tcW w:type="dxa" w:w="2351"/>
          </w:tcPr>
          <w:p>
            <w:r>
              <w:t>Continuité des séquences de factures — Ventes</w:t>
            </w:r>
          </w:p>
        </w:tc>
        <w:tc>
          <w:tcPr>
            <w:tcW w:type="dxa" w:w="2351"/>
          </w:tcPr>
          <w:p>
            <w:r>
              <w:t>haute</w:t>
            </w:r>
          </w:p>
        </w:tc>
        <w:tc>
          <w:tcPr>
            <w:tcW w:type="dxa" w:w="2351"/>
          </w:tcPr>
          <w:p>
            <w:r>
              <w:t>Contrôle retenu en réponse aux risques du cycle.</w:t>
            </w:r>
          </w:p>
        </w:tc>
      </w:tr>
      <w:tr>
        <w:tc>
          <w:tcPr>
            <w:tcW w:type="dxa" w:w="2351"/>
          </w:tcPr>
          <w:p>
            <w:r>
              <w:t>VENTE-VARIATION</w:t>
            </w:r>
          </w:p>
        </w:tc>
        <w:tc>
          <w:tcPr>
            <w:tcW w:type="dxa" w:w="2351"/>
          </w:tcPr>
          <w:p>
            <w:r>
              <w:t>Variations N/N-1 — Ventes</w:t>
            </w:r>
          </w:p>
        </w:tc>
        <w:tc>
          <w:tcPr>
            <w:tcW w:type="dxa" w:w="2351"/>
          </w:tcPr>
          <w:p>
            <w:r>
              <w:t>haute</w:t>
            </w:r>
          </w:p>
        </w:tc>
        <w:tc>
          <w:tcPr>
            <w:tcW w:type="dxa" w:w="2351"/>
          </w:tcPr>
          <w:p>
            <w:r>
              <w:t>Contrôle retenu en réponse aux risques du cycle.</w:t>
            </w:r>
          </w:p>
        </w:tc>
      </w:tr>
      <w:tr>
        <w:tc>
          <w:tcPr>
            <w:tcW w:type="dxa" w:w="2351"/>
          </w:tcPr>
          <w:p>
            <w:r>
              <w:t>VENTE-SOLDE-CREDITEUR</w:t>
            </w:r>
          </w:p>
        </w:tc>
        <w:tc>
          <w:tcPr>
            <w:tcW w:type="dxa" w:w="2351"/>
          </w:tcPr>
          <w:p>
            <w:r>
              <w:t>Soldes créditeurs anormaux — Clients</w:t>
            </w:r>
          </w:p>
        </w:tc>
        <w:tc>
          <w:tcPr>
            <w:tcW w:type="dxa" w:w="2351"/>
          </w:tcPr>
          <w:p>
            <w:r>
              <w:t>haute</w:t>
            </w:r>
          </w:p>
        </w:tc>
        <w:tc>
          <w:tcPr>
            <w:tcW w:type="dxa" w:w="2351"/>
          </w:tcPr>
          <w:p>
            <w:r>
              <w:t>Contrôle retenu en réponse aux risques du cycle.</w:t>
            </w:r>
          </w:p>
        </w:tc>
      </w:tr>
      <w:tr>
        <w:tc>
          <w:tcPr>
            <w:tcW w:type="dxa" w:w="2351"/>
          </w:tcPr>
          <w:p>
            <w:r>
              <w:t>VENTE-DOUBLON</w:t>
            </w:r>
          </w:p>
        </w:tc>
        <w:tc>
          <w:tcPr>
            <w:tcW w:type="dxa" w:w="2351"/>
          </w:tcPr>
          <w:p>
            <w:r>
              <w:t>Doublons de factures clients</w:t>
            </w:r>
          </w:p>
        </w:tc>
        <w:tc>
          <w:tcPr>
            <w:tcW w:type="dxa" w:w="2351"/>
          </w:tcPr>
          <w:p>
            <w:r>
              <w:t>haute</w:t>
            </w:r>
          </w:p>
        </w:tc>
        <w:tc>
          <w:tcPr>
            <w:tcW w:type="dxa" w:w="2351"/>
          </w:tcPr>
          <w:p>
            <w:r>
              <w:t>Contrôle retenu en réponse aux risques du cycle.</w:t>
            </w:r>
          </w:p>
        </w:tc>
      </w:tr>
      <w:tr>
        <w:tc>
          <w:tcPr>
            <w:tcW w:type="dxa" w:w="2351"/>
          </w:tcPr>
          <w:p>
            <w:r>
              <w:t>VENTE-CONCENTRATION</w:t>
            </w:r>
          </w:p>
        </w:tc>
        <w:tc>
          <w:tcPr>
            <w:tcW w:type="dxa" w:w="2351"/>
          </w:tcPr>
          <w:p>
            <w:r>
              <w:t>Concentration des ventes sur un client</w:t>
            </w:r>
          </w:p>
        </w:tc>
        <w:tc>
          <w:tcPr>
            <w:tcW w:type="dxa" w:w="2351"/>
          </w:tcPr>
          <w:p>
            <w:r>
              <w:t>haute</w:t>
            </w:r>
          </w:p>
        </w:tc>
        <w:tc>
          <w:tcPr>
            <w:tcW w:type="dxa" w:w="2351"/>
          </w:tcPr>
          <w:p>
            <w:r>
              <w:t>Contrôle retenu en réponse aux risques du cycle.</w:t>
            </w:r>
          </w:p>
        </w:tc>
      </w:tr>
      <w:tr>
        <w:tc>
          <w:tcPr>
            <w:tcW w:type="dxa" w:w="2351"/>
          </w:tcPr>
          <w:p>
            <w:r>
              <w:t>VENTE-AVOIR</w:t>
            </w:r>
          </w:p>
        </w:tc>
        <w:tc>
          <w:tcPr>
            <w:tcW w:type="dxa" w:w="2351"/>
          </w:tcPr>
          <w:p>
            <w:r>
              <w:t>Ratio avoirs / ventes anormal</w:t>
            </w:r>
          </w:p>
        </w:tc>
        <w:tc>
          <w:tcPr>
            <w:tcW w:type="dxa" w:w="2351"/>
          </w:tcPr>
          <w:p>
            <w:r>
              <w:t>haute</w:t>
            </w:r>
          </w:p>
        </w:tc>
        <w:tc>
          <w:tcPr>
            <w:tcW w:type="dxa" w:w="2351"/>
          </w:tcPr>
          <w:p>
            <w:r>
              <w:t>Contrôle retenu en réponse aux risques du cycle.</w:t>
            </w:r>
          </w:p>
        </w:tc>
      </w:tr>
      <w:tr>
        <w:tc>
          <w:tcPr>
            <w:tcW w:type="dxa" w:w="2351"/>
          </w:tcPr>
          <w:p>
            <w:r>
              <w:t>VENTE-ROUND</w:t>
            </w:r>
          </w:p>
        </w:tc>
        <w:tc>
          <w:tcPr>
            <w:tcW w:type="dxa" w:w="2351"/>
          </w:tcPr>
          <w:p>
            <w:r>
              <w:t>Concentration de montants ronds — Ventes</w:t>
            </w:r>
          </w:p>
        </w:tc>
        <w:tc>
          <w:tcPr>
            <w:tcW w:type="dxa" w:w="2351"/>
          </w:tcPr>
          <w:p>
            <w:r>
              <w:t>haute</w:t>
            </w:r>
          </w:p>
        </w:tc>
        <w:tc>
          <w:tcPr>
            <w:tcW w:type="dxa" w:w="2351"/>
          </w:tcPr>
          <w:p>
            <w:r>
              <w:t>Contrôle retenu en réponse aux risques du cycle.</w:t>
            </w:r>
          </w:p>
        </w:tc>
      </w:tr>
      <w:tr>
        <w:tc>
          <w:tcPr>
            <w:tcW w:type="dxa" w:w="2351"/>
          </w:tcPr>
          <w:p>
            <w:r>
              <w:t>VENTE-CUT-OFF</w:t>
            </w:r>
          </w:p>
        </w:tc>
        <w:tc>
          <w:tcPr>
            <w:tcW w:type="dxa" w:w="2351"/>
          </w:tcPr>
          <w:p>
            <w:r>
              <w:t>Ventes concentrées en fin d'exercice</w:t>
            </w:r>
          </w:p>
        </w:tc>
        <w:tc>
          <w:tcPr>
            <w:tcW w:type="dxa" w:w="2351"/>
          </w:tcPr>
          <w:p>
            <w:r>
              <w:t>haute</w:t>
            </w:r>
          </w:p>
        </w:tc>
        <w:tc>
          <w:tcPr>
            <w:tcW w:type="dxa" w:w="2351"/>
          </w:tcPr>
          <w:p>
            <w:r>
              <w:t>Contrôle retenu en réponse aux risques du cycle.</w:t>
            </w:r>
          </w:p>
        </w:tc>
      </w:tr>
      <w:tr>
        <w:tc>
          <w:tcPr>
            <w:tcW w:type="dxa" w:w="2351"/>
          </w:tcPr>
          <w:p>
            <w:r>
              <w:t>VENTE-CREANCES-ECHUES</w:t>
            </w:r>
          </w:p>
        </w:tc>
        <w:tc>
          <w:tcPr>
            <w:tcW w:type="dxa" w:w="2351"/>
          </w:tcPr>
          <w:p>
            <w:r>
              <w:t>Créances clients anciennes (&gt; 90 jours)</w:t>
            </w:r>
          </w:p>
        </w:tc>
        <w:tc>
          <w:tcPr>
            <w:tcW w:type="dxa" w:w="2351"/>
          </w:tcPr>
          <w:p>
            <w:r>
              <w:t>haute</w:t>
            </w:r>
          </w:p>
        </w:tc>
        <w:tc>
          <w:tcPr>
            <w:tcW w:type="dxa" w:w="2351"/>
          </w:tcPr>
          <w:p>
            <w:r>
              <w:t>Contrôle retenu en réponse aux risques du cycle.</w:t>
            </w:r>
          </w:p>
        </w:tc>
      </w:tr>
    </w:tbl>
    <w:p/>
    <w:p>
      <w:r>
        <w:br w:type="page"/>
      </w:r>
    </w:p>
    <w:p>
      <w:pPr>
        <w:pStyle w:val="Heading1"/>
      </w:pPr>
      <w:r>
        <w:rPr>
          <w:color w:val="4F46E5"/>
        </w:rPr>
        <w:t>7. Synthèse et conclusion</w:t>
      </w:r>
    </w:p>
    <w:p>
      <w:r>
        <w:rPr>
          <w:b/>
          <w:i w:val="0"/>
          <w:sz w:val="22"/>
        </w:rPr>
        <w:t>Note de synthèse de planification — HARBI MATERIAUX SARL — Exercice 2025</w:t>
      </w:r>
    </w:p>
    <w:p/>
    <w:p>
      <w:pPr>
        <w:pStyle w:val="Heading2"/>
      </w:pPr>
      <w:r>
        <w:t>1. Connaissance de l'entité</w:t>
      </w:r>
    </w:p>
    <w:p>
      <w:r>
        <w:rPr>
          <w:b w:val="0"/>
          <w:i w:val="0"/>
          <w:sz w:val="22"/>
        </w:rPr>
        <w:t>HARBI MATERIAUX SARL est une société de négoce de matériaux de construction opérant sur le marché local, avec un effectif restreint et une fonction comptable assurée par une seule personne supervisée par un cabinet externe. La facturation est réalisée sous Excel puis ressaisie en comptabilité, sans séparation des tâches formalisée : cet environnement de contrôle interne limité oriente la mission vers une approche essentiellement substantive.</w:t>
      </w:r>
    </w:p>
    <w:p>
      <w:pPr>
        <w:pStyle w:val="Heading2"/>
      </w:pPr>
      <w:r>
        <w:t>2. Résultats des procédures analytiques</w:t>
      </w:r>
    </w:p>
    <w:p>
      <w:r>
        <w:rPr>
          <w:b w:val="0"/>
          <w:i w:val="0"/>
          <w:sz w:val="22"/>
        </w:rPr>
        <w:t>Les procédures analytiques préliminaires font ressortir une croissance marquée de l'activité, une progression des créances clients et des stocks supérieure à celle du chiffre d'affaires, et une amélioration atypique de la marge nette. Ces évolutions concentrent l'attention sur la séparation des exercices, la recouvrabilité des créances et l'exhaustivité des charges.</w:t>
      </w:r>
    </w:p>
    <w:p>
      <w:pPr>
        <w:pStyle w:val="Heading2"/>
      </w:pPr>
      <w:r>
        <w:t>3. Cartographie des risques et seuil de signification</w:t>
      </w:r>
    </w:p>
    <w:p>
      <w:r>
        <w:rPr>
          <w:b w:val="0"/>
          <w:i w:val="0"/>
          <w:sz w:val="22"/>
        </w:rPr>
        <w:t>Les risques validés par l'auditeur couvrent principalement les cycles ventes (cut-off, créances anciennes), trésorerie (rapprochement bancaire, espèces) et achats (doublons de factures), avec des risques transversaux sur la marge et les stocks. Le seuil de signification retenu, assis sur un agrégat représentatif de l'activité, borne l'évaluation des anomalies relevées.</w:t>
      </w:r>
    </w:p>
    <w:p>
      <w:pPr>
        <w:pStyle w:val="Heading2"/>
      </w:pPr>
      <w:r>
        <w:t>4. Justification du programme de travail</w:t>
      </w:r>
    </w:p>
    <w:p>
      <w:r>
        <w:rPr>
          <w:b w:val="0"/>
          <w:i w:val="0"/>
          <w:sz w:val="22"/>
        </w:rPr>
        <w:t>Le programme de travail inclut l'ensemble des contrôles des cycles couverts, avec une priorité haute sur les cycles porteurs de risques élevés. Cette intensité répond directement à la cartographie : chaque contrôle inclus est rattaché au risque qu'il adresse, conformément à la démarche de réponse aux risques évalués.</w:t>
      </w:r>
    </w:p>
    <w:p/>
    <w:p>
      <w:r>
        <w:rPr>
          <w:i/>
        </w:rPr>
        <w:t>La mission est planifiée selon une approche substantive renforcée sur les cycles ventes, trésorerie et achats. Le programme de travail et le seuil de signification retenus permettent de couvrir les risques identifiés ; ils seront réévalués si des éléments nouveaux apparaissent en cours de mission.</w:t>
      </w:r>
    </w:p>
    <w:p/>
    <w:p>
      <w:pPr>
        <w:spacing w:after="0"/>
      </w:pPr>
      <w:r>
        <w:rPr>
          <w:sz w:val="16"/>
        </w:rPr>
        <w:t>────────────────────────────────────────────────────────────────────────────────</w:t>
      </w:r>
    </w:p>
    <w:p/>
    <w:p>
      <w:r>
        <w:rPr>
          <w:b/>
        </w:rPr>
        <w:t>Validation par l'auditeur responsable de la mission</w:t>
        <w:br/>
        <w:br/>
      </w:r>
      <w:r>
        <w:t xml:space="preserve">Nom : ___________________________          </w:t>
      </w:r>
      <w:r>
        <w:t>Date : ___________________________</w:t>
        <w:br/>
        <w:br/>
      </w:r>
      <w:r>
        <w:t>Signature : ___________________________</w:t>
      </w:r>
    </w:p>
    <w:p/>
    <w:p>
      <w:pPr>
        <w:spacing w:after="0"/>
      </w:pPr>
      <w:r>
        <w:rPr>
          <w:sz w:val="16"/>
        </w:rPr>
        <w:t>────────────────────────────────────────────────────────────────────────────────</w:t>
      </w:r>
    </w:p>
    <w:p>
      <w:pPr>
        <w:jc w:val="center"/>
      </w:pPr>
      <w:r>
        <w:rPr>
          <w:i/>
          <w:sz w:val="18"/>
        </w:rPr>
        <w:t>Document généré par Probare le 08/07/2026 10:56 UTC · Document confidentiel · Dossier de travail ISA 230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